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pPr>
      <w:r>
        <w:rPr>
          <w:rFonts w:ascii="Times New Roman" w:cs="Times New Roman" w:eastAsia="Times New Roman" w:hAnsi="Times New Roman"/>
          <w:sz w:val="24"/>
          <w:szCs w:val="24"/>
        </w:rPr>
        <w:t xml:space="preserve"/>
      </w:r>
    </w:p>
    <w:p>
      <w:pPr>
        <w:spacing w:after="0" w:before="0" w:line="480"/>
      </w:pPr>
      <w:r>
        <w:rPr>
          <w:rFonts w:ascii="Times New Roman" w:cs="Times New Roman" w:eastAsia="Times New Roman" w:hAnsi="Times New Roman"/>
          <w:sz w:val="24"/>
          <w:szCs w:val="24"/>
        </w:rPr>
        <w:t xml:space="preserve"/>
      </w:r>
    </w:p>
    <w:p>
      <w:pPr>
        <w:spacing w:after="0" w:before="0" w:line="480"/>
      </w:pPr>
      <w:r>
        <w:rPr>
          <w:rFonts w:ascii="Times New Roman" w:cs="Times New Roman" w:eastAsia="Times New Roman" w:hAnsi="Times New Roman"/>
          <w:sz w:val="24"/>
          <w:szCs w:val="24"/>
        </w:rPr>
        <w:t xml:space="preserve"/>
      </w:r>
    </w:p>
    <w:p>
      <w:pPr>
        <w:spacing w:after="120" w:before="0" w:line="480"/>
        <w:ind w:firstLine="0"/>
        <w:jc w:val="center"/>
      </w:pPr>
      <w:r>
        <w:rPr>
          <w:rFonts w:ascii="Times New Roman" w:cs="Times New Roman" w:eastAsia="Times New Roman" w:hAnsi="Times New Roman"/>
          <w:b/>
          <w:bCs/>
          <w:sz w:val="28"/>
          <w:szCs w:val="28"/>
        </w:rPr>
        <w:t xml:space="preserve">Expected Free Energy Minimization for Adaptive Next-Task Selection in Self-Regulated Learning</w:t>
      </w:r>
    </w:p>
    <w:p>
      <w:pPr>
        <w:spacing w:after="480" w:before="0" w:line="480"/>
        <w:ind w:firstLine="0"/>
        <w:jc w:val="center"/>
      </w:pPr>
      <w:r>
        <w:rPr>
          <w:rFonts w:ascii="Times New Roman" w:cs="Times New Roman" w:eastAsia="Times New Roman" w:hAnsi="Times New Roman"/>
          <w:b/>
          <w:bCs/>
          <w:i/>
          <w:iCs/>
          <w:sz w:val="28"/>
          <w:szCs w:val="28"/>
        </w:rPr>
        <w:t xml:space="preserve">An In Silico Validation</w:t>
      </w:r>
    </w:p>
    <w:p>
      <w:pPr>
        <w:spacing w:after="0" w:before="0" w:line="480"/>
      </w:pPr>
      <w:r>
        <w:rPr>
          <w:rFonts w:ascii="Times New Roman" w:cs="Times New Roman" w:eastAsia="Times New Roman" w:hAnsi="Times New Roman"/>
          <w:sz w:val="24"/>
          <w:szCs w:val="24"/>
        </w:rPr>
        <w:t xml:space="preserve"/>
      </w:r>
    </w:p>
    <w:p>
      <w:pPr>
        <w:spacing w:after="0" w:before="0" w:line="480"/>
      </w:pPr>
      <w:r>
        <w:rPr>
          <w:rFonts w:ascii="Times New Roman" w:cs="Times New Roman" w:eastAsia="Times New Roman" w:hAnsi="Times New Roman"/>
          <w:sz w:val="24"/>
          <w:szCs w:val="24"/>
        </w:rPr>
        <w:t xml:space="preserve"/>
      </w:r>
    </w:p>
    <w:p>
      <w:pPr>
        <w:spacing w:after="60" w:before="0" w:line="480"/>
        <w:ind w:firstLine="0"/>
        <w:jc w:val="center"/>
      </w:pPr>
      <w:r>
        <w:rPr>
          <w:rFonts w:ascii="Times New Roman" w:cs="Times New Roman" w:eastAsia="Times New Roman" w:hAnsi="Times New Roman"/>
          <w:b/>
          <w:bCs/>
          <w:sz w:val="24"/>
          <w:szCs w:val="24"/>
        </w:rPr>
        <w:t xml:space="preserve">Alex Kwon, BCN, PhD</w:t>
      </w:r>
    </w:p>
    <w:p>
      <w:pPr>
        <w:spacing w:after="60" w:before="0" w:line="360"/>
        <w:ind w:firstLine="0"/>
        <w:jc w:val="center"/>
      </w:pPr>
      <w:r>
        <w:rPr>
          <w:rFonts w:ascii="Times New Roman" w:cs="Times New Roman" w:eastAsia="Times New Roman" w:hAnsi="Times New Roman"/>
          <w:sz w:val="24"/>
          <w:szCs w:val="24"/>
        </w:rPr>
        <w:t xml:space="preserve">Boston Neuromind LLC, Canton, MA, USA</w:t>
      </w:r>
    </w:p>
    <w:p>
      <w:pPr>
        <w:spacing w:after="60" w:before="0" w:line="360"/>
        <w:ind w:firstLine="0"/>
        <w:jc w:val="center"/>
      </w:pPr>
      <w:r>
        <w:rPr>
          <w:rFonts w:ascii="Times New Roman" w:cs="Times New Roman" w:eastAsia="Times New Roman" w:hAnsi="Times New Roman"/>
          <w:i/>
          <w:iCs/>
          <w:sz w:val="24"/>
          <w:szCs w:val="24"/>
        </w:rPr>
        <w:t xml:space="preserve">Visiting Scholar, Harvard Graduate School of Education (2018–2020)</w:t>
      </w:r>
    </w:p>
    <w:p>
      <w:pPr>
        <w:spacing w:after="0" w:before="0" w:line="480"/>
      </w:pPr>
      <w:r>
        <w:rPr>
          <w:rFonts w:ascii="Times New Roman" w:cs="Times New Roman" w:eastAsia="Times New Roman" w:hAnsi="Times New Roman"/>
          <w:sz w:val="24"/>
          <w:szCs w:val="24"/>
        </w:rPr>
        <w:t xml:space="preserve"/>
      </w:r>
    </w:p>
    <w:p>
      <w:pPr>
        <w:spacing w:after="0" w:before="0" w:line="480"/>
      </w:pPr>
      <w:r>
        <w:rPr>
          <w:rFonts w:ascii="Times New Roman" w:cs="Times New Roman" w:eastAsia="Times New Roman" w:hAnsi="Times New Roman"/>
          <w:sz w:val="24"/>
          <w:szCs w:val="24"/>
        </w:rPr>
        <w:t xml:space="preserve"/>
      </w:r>
    </w:p>
    <w:p>
      <w:pPr>
        <w:spacing w:after="0" w:before="0" w:line="480"/>
      </w:pPr>
      <w:r>
        <w:rPr>
          <w:rFonts w:ascii="Times New Roman" w:cs="Times New Roman" w:eastAsia="Times New Roman" w:hAnsi="Times New Roman"/>
          <w:sz w:val="24"/>
          <w:szCs w:val="24"/>
        </w:rPr>
        <w:t xml:space="preserve"/>
      </w:r>
    </w:p>
    <w:p>
      <w:pPr>
        <w:spacing w:after="60" w:before="0" w:line="360"/>
        <w:ind w:firstLine="0"/>
        <w:jc w:val="center"/>
      </w:pPr>
      <w:r>
        <w:rPr>
          <w:rFonts w:ascii="Times New Roman" w:cs="Times New Roman" w:eastAsia="Times New Roman" w:hAnsi="Times New Roman"/>
          <w:b/>
          <w:bCs/>
          <w:sz w:val="24"/>
          <w:szCs w:val="24"/>
        </w:rPr>
        <w:t xml:space="preserve">Author Note</w:t>
      </w:r>
    </w:p>
    <w:p>
      <w:pPr>
        <w:spacing w:after="60" w:before="0" w:line="360"/>
        <w:ind w:firstLine="720"/>
        <w:jc w:val="left"/>
      </w:pPr>
      <w:r>
        <w:rPr>
          <w:rFonts w:ascii="Times New Roman" w:cs="Times New Roman" w:eastAsia="Times New Roman" w:hAnsi="Times New Roman"/>
          <w:sz w:val="24"/>
          <w:szCs w:val="24"/>
        </w:rPr>
        <w:t xml:space="preserve">Alex Kwon https://orcid.org/0000-0000-0000-0000</w:t>
      </w:r>
    </w:p>
    <w:p>
      <w:pPr>
        <w:spacing w:after="60" w:before="0" w:line="360"/>
        <w:ind w:firstLine="720"/>
        <w:jc w:val="left"/>
      </w:pPr>
      <w:r>
        <w:rPr>
          <w:rFonts w:ascii="Times New Roman" w:cs="Times New Roman" w:eastAsia="Times New Roman" w:hAnsi="Times New Roman"/>
          <w:sz w:val="24"/>
          <w:szCs w:val="24"/>
        </w:rPr>
        <w:t xml:space="preserve">The author has no conflicts of interest to disclose. This work was supported by Boston Neuromind LLC. The synthetic cohort, algorithm code, and analysis scripts described in this article are available from the author on reasonable request and will be released as an open framework upon completion of prospective validation.</w:t>
      </w:r>
    </w:p>
    <w:p>
      <w:pPr>
        <w:spacing w:after="60" w:before="120" w:line="360"/>
        <w:ind w:firstLine="720"/>
        <w:jc w:val="left"/>
      </w:pPr>
      <w:r>
        <w:rPr>
          <w:rFonts w:ascii="Times New Roman" w:cs="Times New Roman" w:eastAsia="Times New Roman" w:hAnsi="Times New Roman"/>
          <w:sz w:val="24"/>
          <w:szCs w:val="24"/>
        </w:rPr>
        <w:t xml:space="preserve">Correspondence concerning this article should be addressed to Alex Kwon, Boston Neuromind LLC, Canton, MA 02021, United States. Email: </w:t>
      </w:r>
      <w:r>
        <w:rPr>
          <w:rFonts w:ascii="Times New Roman" w:cs="Times New Roman" w:eastAsia="Times New Roman" w:hAnsi="Times New Roman"/>
          <w:sz w:val="24"/>
          <w:szCs w:val="24"/>
          <w:u w:val="single"/>
        </w:rPr>
        <w:t xml:space="preserve">bostonneuromind@gmail.com</w:t>
      </w:r>
    </w:p>
    <w:p>
      <w:r>
        <w:br w:type="page"/>
      </w:r>
    </w:p>
    <w:p>
      <w:pPr>
        <w:spacing w:after="240" w:before="0" w:line="480"/>
        <w:ind w:firstLine="0"/>
        <w:jc w:val="center"/>
      </w:pPr>
      <w:r>
        <w:rPr>
          <w:rFonts w:ascii="Times New Roman" w:cs="Times New Roman" w:eastAsia="Times New Roman" w:hAnsi="Times New Roman"/>
          <w:b/>
          <w:bCs/>
          <w:sz w:val="24"/>
          <w:szCs w:val="24"/>
        </w:rPr>
        <w:t xml:space="preserve">Abstract</w:t>
      </w:r>
    </w:p>
    <w:p>
      <w:pPr>
        <w:spacing w:after="120" w:before="0" w:line="480"/>
        <w:ind w:firstLine="0"/>
        <w:jc w:val="both"/>
      </w:pPr>
      <w:r>
        <w:rPr>
          <w:rFonts w:ascii="Times New Roman" w:cs="Times New Roman" w:eastAsia="Times New Roman" w:hAnsi="Times New Roman"/>
          <w:sz w:val="24"/>
          <w:szCs w:val="24"/>
        </w:rPr>
        <w:t xml:space="preserve">Adaptive learning systems must repeatedly answer a deceptively simple question: given everything the system knows about a learner right now, what task should be presented next? Current solutions rely on item-response calibration, difficulty estimation, or symptom-matched recommendation rules, each of which captures only a fragment of the determinants of learner engagement and progress. We propose that expected free energy (EFE), the central decision quantity in Active Inference, provides a single computational criterion that unifies these fragments. Specifically, EFE decomposes into three components with direct measurement correlates: precision γ (indexed by heart rate variability), Bayesian information gain I (defined over a learner’s skill belief), and pragmatic value U (operationalized as goal–task alignment). The next-task selector minimizes G = −γ·(I + U) over an admissible task library. We formalize the algorithm, specify four sub-modules, and evaluate it in silico on a synthetic cohort of 1,000 learners stratified by developmental level (Fischer levels 7–13) and clinical status. Across four pre-specified hypotheses, the EFE selector (a) predicted engagement from precision (AUC = 0.86), (b) showed an inverted-U learning-rate curve over information gain with optimum at I ≈ 1.0 nats, (c) exhibited a stage-dependent shift from pragmatic to epistemic weighting from Fischer L7 to L13, and (d) outperformed difficulty-only, random, and symptom-only baselines on both engagement and learning-rate criteria. We discuss limitations of synthetic validation, outline a four-phase prospective validation roadmap including an N = 5 case series (initiated May 2026) and N = 200 multi-site cohort, and consider implications for self-regulated learning theory and clinical decision support.</w:t>
      </w:r>
    </w:p>
    <w:p>
      <w:pPr>
        <w:spacing w:after="240" w:before="120" w:line="480"/>
        <w:ind w:firstLine="0"/>
        <w:jc w:val="both"/>
      </w:pPr>
      <w:r>
        <w:rPr>
          <w:rFonts w:ascii="Times New Roman" w:cs="Times New Roman" w:eastAsia="Times New Roman" w:hAnsi="Times New Roman"/>
          <w:i/>
          <w:iCs/>
          <w:sz w:val="24"/>
          <w:szCs w:val="24"/>
        </w:rPr>
        <w:t xml:space="preserve">Keywords: </w:t>
      </w:r>
      <w:r>
        <w:rPr>
          <w:rFonts w:ascii="Times New Roman" w:cs="Times New Roman" w:eastAsia="Times New Roman" w:hAnsi="Times New Roman"/>
          <w:sz w:val="24"/>
          <w:szCs w:val="24"/>
        </w:rPr>
        <w:t xml:space="preserve">active inference; expected free energy; self-regulated learning; dynamic skill theory; heart rate variability; adaptive learning; in silico validation; clinical decision support</w:t>
      </w:r>
    </w:p>
    <w:p>
      <w:r>
        <w:br w:type="page"/>
      </w:r>
    </w:p>
    <w:p>
      <w:pPr>
        <w:spacing w:after="120" w:before="240" w:line="480"/>
        <w:ind w:firstLine="0"/>
        <w:jc w:val="center"/>
      </w:pPr>
      <w:r>
        <w:rPr>
          <w:rFonts w:ascii="Times New Roman" w:cs="Times New Roman" w:eastAsia="Times New Roman" w:hAnsi="Times New Roman"/>
          <w:b/>
          <w:bCs/>
          <w:sz w:val="26"/>
          <w:szCs w:val="26"/>
        </w:rPr>
        <w:t xml:space="preserve">Expected Free Energy Minimization for Adaptive Next-Task Selection in Self-Regulated Learning: An In Silico Validation</w:t>
      </w:r>
    </w:p>
    <w:p>
      <w:pPr>
        <w:spacing w:after="0" w:before="0" w:line="480"/>
        <w:ind w:firstLine="720"/>
        <w:jc w:val="both"/>
      </w:pPr>
      <w:r>
        <w:rPr>
          <w:rFonts w:ascii="Times New Roman" w:cs="Times New Roman" w:eastAsia="Times New Roman" w:hAnsi="Times New Roman"/>
          <w:sz w:val="24"/>
          <w:szCs w:val="24"/>
        </w:rPr>
        <w:t xml:space="preserve">Among the practical questions that recur across educational technology, intelligent tutoring, neurofeedback training, and clinical psychotherapy, none arises more often than this: given everything we know about this learner right now, what should we ask them to do next? The question is unavoidable because each interaction in a learning sequence presents a fork. Choose a task too easy and the learner disengages from boredom or completes it without measurable change. Choose too hard and the learner abandons it, withdraws, or completes it in a way that consolidates rather than corrects misconception. Choose a task that is well-calibrated to current skill but disconnected from the learner’s stated goal and the system trains a capability that the learner will not use. Choose a task that matches the goal but ignores the learner’s present physiological state and the system delivers a recommendation that, however well-targeted in principle, will not be enacted (Zimmerman, 2000; Bjork &amp; Bjork, 2011; Porges, 2007).</w:t>
      </w:r>
    </w:p>
    <w:p>
      <w:pPr>
        <w:spacing w:after="0" w:before="0" w:line="480"/>
        <w:ind w:firstLine="720"/>
        <w:jc w:val="both"/>
      </w:pPr>
      <w:r>
        <w:rPr>
          <w:rFonts w:ascii="Times New Roman" w:cs="Times New Roman" w:eastAsia="Times New Roman" w:hAnsi="Times New Roman"/>
          <w:sz w:val="24"/>
          <w:szCs w:val="24"/>
        </w:rPr>
        <w:t xml:space="preserve">The empirical literature on adaptive learning has developed sophisticated answers to specialized versions of this question. Item-response theory provides a principled framework for matching item difficulty to learner ability when the goal is psychometric measurement (van der Linden &amp; Glas, 2010). Bayesian knowledge tracing estimates learner mastery of granular skills from interaction histories and supports skill-level adaptation in intelligent tutoring systems (Yudelson et al., 2013; Pelánek, 2017). Multi-armed bandit and contextual bandit algorithms balance exploration and exploitation in recommendation systems and have been applied to educational sequencing (Clement et al., 2015; Bassen et al., 2020). Spaced-repetition algorithms exploit forgetting curves to time review (Settles &amp; Meeder, 2016). Recent work on adaptive instruction with large language models has extended these approaches to open-ended dialogue (Kasneci et al., 2023; Aleven et al., 2023). Each of these literatures has contributed measurable improvements within its scope.</w:t>
      </w:r>
    </w:p>
    <w:p>
      <w:pPr>
        <w:spacing w:after="0" w:before="0" w:line="480"/>
        <w:ind w:firstLine="720"/>
        <w:jc w:val="both"/>
      </w:pPr>
      <w:r>
        <w:rPr>
          <w:rFonts w:ascii="Times New Roman" w:cs="Times New Roman" w:eastAsia="Times New Roman" w:hAnsi="Times New Roman"/>
          <w:sz w:val="24"/>
          <w:szCs w:val="24"/>
        </w:rPr>
        <w:t xml:space="preserve">Yet none of these approaches addresses the full set of constraints that govern whether a particular next task is the right one for this learner at this moment. Item-response models do not represent goals. Knowledge tracing models do not represent physiological state. Bandit algorithms do not represent developmental hierarchy. Spaced-repetition algorithms presume that retention is the optimization target, which is true for some learning contexts and false for others (e.g., regulation training, performance optimization, therapeutic skill acquisition). The result, in practice, is that adaptive learning systems are either narrow (optimizing one criterion within one domain) or eclectic (combining heuristics that work most of the time but cannot be derived from any single principle).</w:t>
      </w:r>
    </w:p>
    <w:p>
      <w:pPr>
        <w:spacing w:after="0" w:before="0" w:line="480"/>
        <w:ind w:firstLine="720"/>
        <w:jc w:val="both"/>
      </w:pPr>
      <w:r>
        <w:rPr>
          <w:rFonts w:ascii="Times New Roman" w:cs="Times New Roman" w:eastAsia="Times New Roman" w:hAnsi="Times New Roman"/>
          <w:sz w:val="24"/>
          <w:szCs w:val="24"/>
        </w:rPr>
        <w:t xml:space="preserve">This article proposes that a single computational principle—the minimization of expected free energy (EFE) over candidate actions, central to the Active Inference framework (Friston et al., 2017; Parr et al., 2022)—can serve as the missing unification. Active Inference treats action selection as inference: the agent selects the action whose expected consequences best balance two terms, the expected reduction of uncertainty about the world (epistemic value) and the expected alignment of outcomes with prior preferences (pragmatic value). When this decision is contextualized by a precision parameter γ that gates how strongly preferences and beliefs influence action, the formal structure of EFE becomes a natural fit for next-task selection in self-regulated learning. The learner’s skill belief is the inference target. The information gain about that belief from candidate tasks is the epistemic value. The alignment between candidate-task outcomes and the learner’s declared goals is the pragmatic value. The precision parameter is the modulator that determines whether the system should select for sharp learning gain (high γ) or for gentle re-engagement (low γ). The criterion is one expression: G = −γ·(I + U), minimized over the candidate library.</w:t>
      </w:r>
    </w:p>
    <w:p>
      <w:pPr>
        <w:spacing w:after="100" w:before="180" w:line="480"/>
        <w:ind w:firstLine="0"/>
        <w:jc w:val="left"/>
      </w:pPr>
      <w:r>
        <w:rPr>
          <w:rFonts w:ascii="Times New Roman" w:cs="Times New Roman" w:eastAsia="Times New Roman" w:hAnsi="Times New Roman"/>
          <w:b/>
          <w:bCs/>
          <w:sz w:val="24"/>
          <w:szCs w:val="24"/>
        </w:rPr>
        <w:t xml:space="preserve">1.1 The Specific Problem</w:t>
      </w:r>
    </w:p>
    <w:p>
      <w:pPr>
        <w:spacing w:after="0" w:before="0" w:line="480"/>
        <w:ind w:firstLine="720"/>
        <w:jc w:val="both"/>
      </w:pPr>
      <w:r>
        <w:rPr>
          <w:rFonts w:ascii="Times New Roman" w:cs="Times New Roman" w:eastAsia="Times New Roman" w:hAnsi="Times New Roman"/>
          <w:sz w:val="24"/>
          <w:szCs w:val="24"/>
        </w:rPr>
        <w:t xml:space="preserve">We narrow the scope of the present article to a single, specific algorithmic problem: at decision time t, given (a) a vector of physiological and behavioral state inputs S_t for a single learner, (b) a posterior distribution over the learner’s skill level on each of five developmentally graded axes, (c) a declared goal vector reflecting the learner’s near-term aims, and (d) a finite library of candidate tasks each annotated with a target skill profile and a goal-relevance profile, output a single recommended task to be delivered next. The remaining stages of the system—task delivery, response capture, belief update—are presumed by the algorithm but not the subject of optimization. The optimization target is the selection rule itself.</w:t>
      </w:r>
    </w:p>
    <w:p>
      <w:pPr>
        <w:spacing w:after="0" w:before="0" w:line="480"/>
        <w:ind w:firstLine="720"/>
        <w:jc w:val="both"/>
      </w:pPr>
      <w:r>
        <w:rPr>
          <w:rFonts w:ascii="Times New Roman" w:cs="Times New Roman" w:eastAsia="Times New Roman" w:hAnsi="Times New Roman"/>
          <w:sz w:val="24"/>
          <w:szCs w:val="24"/>
        </w:rPr>
        <w:t xml:space="preserve">Framing the problem this narrowly carries three advantages. First, it permits a falsifiable formulation: the proposed selector either improves on appropriate baselines under appropriate evaluation criteria, or it does not. Second, it permits computational tractability: the proposed algorithm runs in time linear in the size of the candidate library and produces a single decision. Third, it permits clear separation between the algorithm and the larger system in which it is embedded—a separation that is necessary if the algorithm is to be evaluated, ported, or replaced independently of its surrounding architecture.</w:t>
      </w:r>
    </w:p>
    <w:p>
      <w:pPr>
        <w:spacing w:after="100" w:before="180" w:line="480"/>
        <w:ind w:firstLine="0"/>
        <w:jc w:val="left"/>
      </w:pPr>
      <w:r>
        <w:rPr>
          <w:rFonts w:ascii="Times New Roman" w:cs="Times New Roman" w:eastAsia="Times New Roman" w:hAnsi="Times New Roman"/>
          <w:b/>
          <w:bCs/>
          <w:sz w:val="24"/>
          <w:szCs w:val="24"/>
        </w:rPr>
        <w:t xml:space="preserve">1.2 Why Active Inference, Specifically</w:t>
      </w:r>
    </w:p>
    <w:p>
      <w:pPr>
        <w:spacing w:after="0" w:before="0" w:line="480"/>
        <w:ind w:firstLine="720"/>
        <w:jc w:val="both"/>
      </w:pPr>
      <w:r>
        <w:rPr>
          <w:rFonts w:ascii="Times New Roman" w:cs="Times New Roman" w:eastAsia="Times New Roman" w:hAnsi="Times New Roman"/>
          <w:sz w:val="24"/>
          <w:szCs w:val="24"/>
        </w:rPr>
        <w:t xml:space="preserve">Several alternative formulations could in principle solve the same selection problem. Contextual bandit algorithms select actions to balance exploration and exploitation given features of the current state (Li et al., 2010). Reinforcement learning with intrinsic motivation rewards information gain as a proxy for curiosity (Schmidhuber, 2010; Pathak et al., 2017). Bayesian optimization selects experiments to minimize uncertainty about a target function (Shahriari et al., 2016). Each of these approaches captures part of the selection problem. None captures all of it without additional machinery.</w:t>
      </w:r>
    </w:p>
    <w:p>
      <w:pPr>
        <w:spacing w:after="0" w:before="0" w:line="480"/>
        <w:ind w:firstLine="720"/>
        <w:jc w:val="both"/>
      </w:pPr>
      <w:r>
        <w:rPr>
          <w:rFonts w:ascii="Times New Roman" w:cs="Times New Roman" w:eastAsia="Times New Roman" w:hAnsi="Times New Roman"/>
          <w:sz w:val="24"/>
          <w:szCs w:val="24"/>
        </w:rPr>
        <w:t xml:space="preserve">Active Inference is distinguished by three properties that map directly onto the constraints of the next-task selection problem. First, the precision parameter γ is a single quantity with a direct, theory-grounded interpretation as physiological readiness for action selection, with a measurable physiological correlate in vagal tone and heart rate variability (Porges, 2007; Smith et al., 2017; Allen et al., 2022). This is not present in bandit or reinforcement learning formulations, which would require precision to be appended as an ad hoc feature. Second, the EFE decomposition naturally separates epistemic and pragmatic components, allowing the system to give principled accounts of why a particular task was selected (e.g., “low gamma → emphasize pragmatic alignment over information gain”). Third, the framework is developmentally generative: the precision parameter and the structure of the generative model itself can change over the course of learning, providing a natural account of stage-dependent selection (Pezzulo et al., 2018; Constant et al., 2018).</w:t>
      </w:r>
    </w:p>
    <w:p>
      <w:pPr>
        <w:spacing w:after="100" w:before="180" w:line="480"/>
        <w:ind w:firstLine="0"/>
        <w:jc w:val="left"/>
      </w:pPr>
      <w:r>
        <w:rPr>
          <w:rFonts w:ascii="Times New Roman" w:cs="Times New Roman" w:eastAsia="Times New Roman" w:hAnsi="Times New Roman"/>
          <w:b/>
          <w:bCs/>
          <w:sz w:val="24"/>
          <w:szCs w:val="24"/>
        </w:rPr>
        <w:t xml:space="preserve">1.3 Why Developmental Structure Matters</w:t>
      </w:r>
    </w:p>
    <w:p>
      <w:pPr>
        <w:spacing w:after="0" w:before="0" w:line="480"/>
        <w:ind w:firstLine="720"/>
        <w:jc w:val="both"/>
      </w:pPr>
      <w:r>
        <w:rPr>
          <w:rFonts w:ascii="Times New Roman" w:cs="Times New Roman" w:eastAsia="Times New Roman" w:hAnsi="Times New Roman"/>
          <w:sz w:val="24"/>
          <w:szCs w:val="24"/>
        </w:rPr>
        <w:t xml:space="preserve">We further argue that a next-task selector that ignores the learner’s developmental position will, in expectation, underperform one that incorporates it. Fischer’s dynamic skill theory (DSL; Fischer, 1980; Fischer &amp; Bidell, 2006) provides a developmentally graded hierarchy of skill levels that has been applied to cognitive, emotional, and self-regulatory development across the lifespan. DSL identifies thirteen levels grouped into four tiers (reflexes, actions, representations, abstractions) and observes that learners do not progress uniformly across levels but display domain-specific developmental trajectories shaped by environmental scaffolding (Mascolo &amp; Fischer, 2015). For an adult clinical population working on regulation skills, the relevant developmental range spans levels 7 through 13, encompassing single representations through abstract systems.</w:t>
      </w:r>
    </w:p>
    <w:p>
      <w:pPr>
        <w:spacing w:after="0" w:before="0" w:line="480"/>
        <w:ind w:firstLine="720"/>
        <w:jc w:val="both"/>
      </w:pPr>
      <w:r>
        <w:rPr>
          <w:rFonts w:ascii="Times New Roman" w:cs="Times New Roman" w:eastAsia="Times New Roman" w:hAnsi="Times New Roman"/>
          <w:sz w:val="24"/>
          <w:szCs w:val="24"/>
        </w:rPr>
        <w:t xml:space="preserve">The empirical regularity central to DSL—that the same individual can operate at different levels in different domains, and that the level achieved is sensitive to support and state (Fischer &amp; Bidell, 2006)—has direct implications for next-task selection. It implies that the appropriate level of challenge depends on a per-axis estimate of the learner’s current functional level rather than a global ability score. It also implies that, at lower developmental levels, the selector should emphasize pragmatic alignment (because abstract goal connection is not yet reliable), whereas at higher levels, the selector can shift weight toward information gain (because the learner has developed the metacognitive scaffolding to absorb informationally dense tasks). This stage-dependent shift in the appropriate balance of pragmatic and epistemic value is a testable consequence of the framework and forms one of the four hypotheses evaluated below.</w:t>
      </w:r>
    </w:p>
    <w:p>
      <w:pPr>
        <w:spacing w:after="100" w:before="180" w:line="480"/>
        <w:ind w:firstLine="0"/>
        <w:jc w:val="left"/>
      </w:pPr>
      <w:r>
        <w:rPr>
          <w:rFonts w:ascii="Times New Roman" w:cs="Times New Roman" w:eastAsia="Times New Roman" w:hAnsi="Times New Roman"/>
          <w:b/>
          <w:bCs/>
          <w:sz w:val="24"/>
          <w:szCs w:val="24"/>
        </w:rPr>
        <w:t xml:space="preserve">1.4 Contributions</w:t>
      </w:r>
    </w:p>
    <w:p>
      <w:pPr>
        <w:spacing w:after="0" w:before="0" w:line="480"/>
        <w:ind w:firstLine="720"/>
        <w:jc w:val="both"/>
      </w:pPr>
      <w:r>
        <w:rPr>
          <w:rFonts w:ascii="Times New Roman" w:cs="Times New Roman" w:eastAsia="Times New Roman" w:hAnsi="Times New Roman"/>
          <w:sz w:val="24"/>
          <w:szCs w:val="24"/>
        </w:rPr>
        <w:t xml:space="preserve">This article makes four contributions. First, it formalizes a next-task selection algorithm based on expected free energy minimization, with four explicit sub-modules (precision estimation from HRV, information gain computation from skill posteriors, pragmatic value computation from goal–task alignment, and free energy minimization over a candidate library). The algorithm is specified in full pseudocode and runs in O(N) time per decision, where N is the size of the candidate library. Second, it derives four falsifiable hypotheses about the algorithm’s behavior on a synthetic cohort: a precision–engagement coupling hypothesis, an inverted-U information-gain learning hypothesis, a stage-dependent decomposition hypothesis, and a comparative-performance hypothesis against three baselines. Third, it evaluates the algorithm in silico on a synthetic cohort of 1,000 learners stratified by age, developmental level, and clinical status, with explicit specifications of how the synthetic cohort was generated and how each hypothesis was tested. Fourth, it lays out a four-phase prospective validation roadmap, beginning with an N = 5 case series (initiated 22 May 2026) and progressing through an N = 200 multi-site cohort study to a randomized comparison of EFE-based versus rule-based adaptive selection.</w:t>
      </w:r>
    </w:p>
    <w:p>
      <w:pPr>
        <w:spacing w:after="0" w:before="0" w:line="480"/>
        <w:ind w:firstLine="720"/>
        <w:jc w:val="both"/>
      </w:pPr>
      <w:r>
        <w:rPr>
          <w:rFonts w:ascii="Times New Roman" w:cs="Times New Roman" w:eastAsia="Times New Roman" w:hAnsi="Times New Roman"/>
          <w:sz w:val="24"/>
          <w:szCs w:val="24"/>
        </w:rPr>
        <w:t xml:space="preserve">A note on what this article does not do. It does not establish efficacy in human learners; that is the task of the prospective phases of the validation roadmap (Sections 6.4 and 7). It does not propose a comprehensive theory of self-regulated learning, although it does identify points of contact with existing theoretical accounts (Zimmerman, 2000; Pintrich, 2000; Greene &amp; Azevedo, 2007). It does not claim that EFE minimization is the only viable computational criterion for next-task selection, only that it provides a coherent, falsifiable, and clinically actionable criterion whose performance can be evaluated against appropriate baselines. The remainder of the article develops these claims in detail.</w:t>
      </w:r>
    </w:p>
    <w:p>
      <w:r>
        <w:br w:type="page"/>
      </w:r>
    </w:p>
    <w:p>
      <w:pPr>
        <w:spacing w:after="120" w:before="240" w:line="480"/>
        <w:ind w:firstLine="0"/>
        <w:jc w:val="center"/>
      </w:pPr>
      <w:r>
        <w:rPr>
          <w:rFonts w:ascii="Times New Roman" w:cs="Times New Roman" w:eastAsia="Times New Roman" w:hAnsi="Times New Roman"/>
          <w:b/>
          <w:bCs/>
          <w:sz w:val="26"/>
          <w:szCs w:val="26"/>
        </w:rPr>
        <w:t xml:space="preserve">2. Theoretical Framework</w:t>
      </w:r>
    </w:p>
    <w:p>
      <w:pPr>
        <w:spacing w:after="0" w:before="0" w:line="480"/>
        <w:ind w:firstLine="720"/>
        <w:jc w:val="both"/>
      </w:pPr>
      <w:r>
        <w:rPr>
          <w:rFonts w:ascii="Times New Roman" w:cs="Times New Roman" w:eastAsia="Times New Roman" w:hAnsi="Times New Roman"/>
          <w:sz w:val="24"/>
          <w:szCs w:val="24"/>
        </w:rPr>
        <w:t xml:space="preserve">This section develops the formal components of the proposed algorithm at a level of detail sufficient to support the algorithmic specification in Section 3 and the in silico validation in Sections 4 and 5. We assume familiarity with elementary probability and Bayesian inference; technical reviews of Active Inference at varying depths are available (Friston et al., 2017; Smith et al., 2022; Parr et al., 2022; Sajid et al., 2021).</w:t>
      </w:r>
    </w:p>
    <w:p>
      <w:pPr>
        <w:spacing w:after="100" w:before="180" w:line="480"/>
        <w:ind w:firstLine="0"/>
        <w:jc w:val="left"/>
      </w:pPr>
      <w:r>
        <w:rPr>
          <w:rFonts w:ascii="Times New Roman" w:cs="Times New Roman" w:eastAsia="Times New Roman" w:hAnsi="Times New Roman"/>
          <w:b/>
          <w:bCs/>
          <w:sz w:val="24"/>
          <w:szCs w:val="24"/>
        </w:rPr>
        <w:t xml:space="preserve">2.1 The Free Energy Principle and Active Inference</w:t>
      </w:r>
    </w:p>
    <w:p>
      <w:pPr>
        <w:spacing w:after="0" w:before="0" w:line="480"/>
        <w:ind w:firstLine="720"/>
        <w:jc w:val="both"/>
      </w:pPr>
      <w:r>
        <w:rPr>
          <w:rFonts w:ascii="Times New Roman" w:cs="Times New Roman" w:eastAsia="Times New Roman" w:hAnsi="Times New Roman"/>
          <w:sz w:val="24"/>
          <w:szCs w:val="24"/>
        </w:rPr>
        <w:t xml:space="preserve">The free energy principle (FEP; Friston, 2010) holds that any system that maintains its structural integrity in a stochastic environment must, on average, minimize a quantity called variational free energy. Variational free energy is an upper bound on the negative log of the marginal likelihood of sensory observations under a model the system carries of how those observations are generated. For our purposes, three consequences of the FEP matter.</w:t>
      </w:r>
    </w:p>
    <w:p>
      <w:pPr>
        <w:spacing w:after="0" w:before="0" w:line="480"/>
        <w:ind w:firstLine="720"/>
        <w:jc w:val="both"/>
      </w:pPr>
      <w:r>
        <w:rPr>
          <w:rFonts w:ascii="Times New Roman" w:cs="Times New Roman" w:eastAsia="Times New Roman" w:hAnsi="Times New Roman"/>
          <w:sz w:val="24"/>
          <w:szCs w:val="24"/>
        </w:rPr>
        <w:t xml:space="preserve">First, agents that act in the world choose actions whose anticipated consequences minimize expected free energy (EFE), denoted G, computed over future trajectories of beliefs and observations under each candidate policy. EFE is not minimized over current observations (that is variational free energy) but over predicted future observations under each candidate action. Second, EFE has a decomposition that separates two types of value: epistemic value (expected information gain about hidden states or model parameters) and pragmatic value (expected alignment of outcomes with prior preferences). The agent selects actions that anticipate both reduced uncertainty and preferred outcomes. Third, a precision parameter γ scales the influence of preferences and beliefs on action selection. When γ is high, the agent acts decisively on its model; when γ is low, action selection becomes diffuse and stochastic (Friston et al., 2017).</w:t>
      </w:r>
    </w:p>
    <w:p>
      <w:pPr>
        <w:spacing w:after="0" w:before="0" w:line="480"/>
        <w:ind w:firstLine="720"/>
        <w:jc w:val="both"/>
      </w:pPr>
      <w:r>
        <w:rPr>
          <w:rFonts w:ascii="Times New Roman" w:cs="Times New Roman" w:eastAsia="Times New Roman" w:hAnsi="Times New Roman"/>
          <w:sz w:val="24"/>
          <w:szCs w:val="24"/>
        </w:rPr>
        <w:t xml:space="preserve">Several recent reviews extend the framework in directions relevant here. Pezzulo et al. (2018) develop hierarchical Active Inference, in which higher levels of a generative model encode slower, more abstract content and lower levels encode faster, more concrete content. Sajid et al. (2021) clarify the relationship between EFE and reinforcement learning, showing that EFE generalizes expected utility maximization by incorporating epistemic value. Smith et al. (2022) provide a step-by-step tutorial implementation of discrete-state Active Inference suitable for empirical work in clinical populations. Allen et al. (2022) propose that polyvagal-indexed precision provides a physiological grounding for γ that connects computational models of action selection to autonomic state. We draw on each of these threads in what follows.</w:t>
      </w:r>
    </w:p>
    <w:p>
      <w:pPr>
        <w:spacing w:after="100" w:before="180" w:line="480"/>
        <w:ind w:firstLine="0"/>
        <w:jc w:val="left"/>
      </w:pPr>
      <w:r>
        <w:rPr>
          <w:rFonts w:ascii="Times New Roman" w:cs="Times New Roman" w:eastAsia="Times New Roman" w:hAnsi="Times New Roman"/>
          <w:b/>
          <w:bCs/>
          <w:sz w:val="24"/>
          <w:szCs w:val="24"/>
        </w:rPr>
        <w:t xml:space="preserve">2.2 Expected Free Energy for Next-Task Selection</w:t>
      </w:r>
    </w:p>
    <w:p>
      <w:pPr>
        <w:spacing w:after="0" w:before="0" w:line="480"/>
        <w:ind w:firstLine="720"/>
        <w:jc w:val="both"/>
      </w:pPr>
      <w:r>
        <w:rPr>
          <w:rFonts w:ascii="Times New Roman" w:cs="Times New Roman" w:eastAsia="Times New Roman" w:hAnsi="Times New Roman"/>
          <w:sz w:val="24"/>
          <w:szCs w:val="24"/>
        </w:rPr>
        <w:t xml:space="preserve">In the next-task selection problem, the candidate "actions" are tasks drawn from a finite library 𝒞, and the relevant outcomes are the observations the learner would generate by completing each candidate task (engagement decisions, performance, emotion ratings, and skill updates). For a candidate task c ∈ 𝒞, expected free energy is defined as the negative weighted sum of expected information gain about the learner’s skill belief and expected pragmatic value of the resulting outcomes:</w:t>
      </w:r>
    </w:p>
    <w:p>
      <w:pPr>
        <w:spacing w:after="120" w:before="120" w:line="480"/>
        <w:ind w:firstLine="0"/>
        <w:jc w:val="center"/>
      </w:pPr>
      <w:r>
        <w:rPr>
          <w:rFonts w:ascii="Times New Roman" w:cs="Times New Roman" w:eastAsia="Times New Roman" w:hAnsi="Times New Roman"/>
          <w:i/>
          <w:iCs/>
          <w:sz w:val="24"/>
          <w:szCs w:val="24"/>
        </w:rPr>
        <w:t xml:space="preserve">G(c) = − γ · [ I(c) + U(c) ]</w:t>
      </w:r>
    </w:p>
    <w:p>
      <w:pPr>
        <w:spacing w:after="0" w:before="0" w:line="480"/>
        <w:ind w:firstLine="720"/>
        <w:jc w:val="both"/>
      </w:pPr>
      <w:r>
        <w:rPr>
          <w:rFonts w:ascii="Times New Roman" w:cs="Times New Roman" w:eastAsia="Times New Roman" w:hAnsi="Times New Roman"/>
          <w:sz w:val="24"/>
          <w:szCs w:val="24"/>
        </w:rPr>
        <w:t xml:space="preserve">where γ ∈ ℝ⁺ is the precision parameter, I(c) is the expected information gain from delivering task c, and U(c) is the expected pragmatic value of c. The next task is selected by minimizing G over the candidate library:</w:t>
      </w:r>
    </w:p>
    <w:p>
      <w:pPr>
        <w:spacing w:after="120" w:before="120" w:line="480"/>
        <w:ind w:firstLine="0"/>
        <w:jc w:val="center"/>
      </w:pPr>
      <w:r>
        <w:rPr>
          <w:rFonts w:ascii="Times New Roman" w:cs="Times New Roman" w:eastAsia="Times New Roman" w:hAnsi="Times New Roman"/>
          <w:i/>
          <w:iCs/>
          <w:sz w:val="24"/>
          <w:szCs w:val="24"/>
        </w:rPr>
        <w:t xml:space="preserve">c* = argmin_{c ∈ 𝒞} G(c) = argmax_{c ∈ 𝒞} γ · [ I(c) + U(c) ]</w:t>
      </w:r>
    </w:p>
    <w:p>
      <w:pPr>
        <w:spacing w:after="0" w:before="0" w:line="480"/>
        <w:ind w:firstLine="720"/>
        <w:jc w:val="both"/>
      </w:pPr>
      <w:r>
        <w:rPr>
          <w:rFonts w:ascii="Times New Roman" w:cs="Times New Roman" w:eastAsia="Times New Roman" w:hAnsi="Times New Roman"/>
          <w:sz w:val="24"/>
          <w:szCs w:val="24"/>
        </w:rPr>
        <w:t xml:space="preserve">Three properties of this formulation deserve emphasis. First, the criterion is a single scalar, computed independently for each candidate task; the selector itself has no internal state, which makes its behavior easy to reason about and easy to test. Second, the decomposition is principled rather than ad hoc: each of γ, I, and U has an independent definition with an independent measurement basis. Third, the formulation is monotone in the sense that improving any one of γ, I, or U (with the others held constant) cannot worsen the selection criterion, which provides interpretability guarantees that are difficult to obtain in models with nonlinear feature interactions.</w:t>
      </w:r>
    </w:p>
    <w:p>
      <w:pPr>
        <w:spacing w:after="100" w:before="180" w:line="480"/>
        <w:ind w:firstLine="0"/>
        <w:jc w:val="left"/>
      </w:pPr>
      <w:r>
        <w:rPr>
          <w:rFonts w:ascii="Times New Roman" w:cs="Times New Roman" w:eastAsia="Times New Roman" w:hAnsi="Times New Roman"/>
          <w:b/>
          <w:bCs/>
          <w:sz w:val="24"/>
          <w:szCs w:val="24"/>
        </w:rPr>
        <w:t xml:space="preserve">2.3 Precision γ from Polyvagal Indices</w:t>
      </w:r>
    </w:p>
    <w:p>
      <w:pPr>
        <w:spacing w:after="0" w:before="0" w:line="480"/>
        <w:ind w:firstLine="720"/>
        <w:jc w:val="both"/>
      </w:pPr>
      <w:r>
        <w:rPr>
          <w:rFonts w:ascii="Times New Roman" w:cs="Times New Roman" w:eastAsia="Times New Roman" w:hAnsi="Times New Roman"/>
          <w:sz w:val="24"/>
          <w:szCs w:val="24"/>
        </w:rPr>
        <w:t xml:space="preserve">The precision parameter γ in Active Inference scales the influence of the prior preferences on action selection (Friston et al., 2017). When γ is high, candidate actions whose anticipated outcomes deviate from prior preferences are sharply penalized; when γ is low, deviation matters less. In neurobiological accounts, γ has been linked to neuromodulatory systems including dopaminergic signaling (Schwartenbeck et al., 2015) and noradrenergic signaling (Sales et al., 2019). For clinical work with adult learners, however, a more tractable correlate is available in the polyvagal-indexed autonomic state, with heart rate variability (HRV) as a peripheral readout.</w:t>
      </w:r>
    </w:p>
    <w:p>
      <w:pPr>
        <w:spacing w:after="0" w:before="0" w:line="480"/>
        <w:ind w:firstLine="720"/>
        <w:jc w:val="both"/>
      </w:pPr>
      <w:r>
        <w:rPr>
          <w:rFonts w:ascii="Times New Roman" w:cs="Times New Roman" w:eastAsia="Times New Roman" w:hAnsi="Times New Roman"/>
          <w:sz w:val="24"/>
          <w:szCs w:val="24"/>
        </w:rPr>
        <w:t xml:space="preserve">Porges’s (2007, 2021) polyvagal theory holds that vagal tone—indexed by the root mean square of successive RR-interval differences (RMSSD) or by high-frequency HRV (HF-HRV)—reflects the readiness of the autonomic system to support social engagement, top-down attentional control, and flexible behavioral regulation. Low vagal tone corresponds to a sympathetic or shutdown configuration in which behavioral options are constrained. High vagal tone corresponds to a configuration in which the system is available for engagement, deliberation, and learning. Allen et al. (2022) and Smith et al. (2017) propose mappings from HRV to γ that we adopt here in simplified form:</w:t>
      </w:r>
    </w:p>
    <w:p>
      <w:pPr>
        <w:spacing w:after="120" w:before="120" w:line="480"/>
        <w:ind w:firstLine="0"/>
        <w:jc w:val="center"/>
      </w:pPr>
      <w:r>
        <w:rPr>
          <w:rFonts w:ascii="Times New Roman" w:cs="Times New Roman" w:eastAsia="Times New Roman" w:hAnsi="Times New Roman"/>
          <w:i/>
          <w:iCs/>
          <w:sz w:val="24"/>
          <w:szCs w:val="24"/>
        </w:rPr>
        <w:t xml:space="preserve">γ = sigmoid( (RMSSD − μ) / σ )</w:t>
      </w:r>
    </w:p>
    <w:p>
      <w:pPr>
        <w:spacing w:after="0" w:before="0" w:line="480"/>
        <w:ind w:firstLine="720"/>
        <w:jc w:val="both"/>
      </w:pPr>
      <w:r>
        <w:rPr>
          <w:rFonts w:ascii="Times New Roman" w:cs="Times New Roman" w:eastAsia="Times New Roman" w:hAnsi="Times New Roman"/>
          <w:sz w:val="24"/>
          <w:szCs w:val="24"/>
        </w:rPr>
        <w:t xml:space="preserve">where μ and σ are subgroup-specific norms (age- and sex-matched), and the sigmoid maps the standardized RMSSD into a precision value in the range (0, 1). The choice of sigmoid is a convenience that bounds γ; alternative bounded transforms (e.g., scaled Beta-distributed γ) yield equivalent behavior. The empirical literature on HRV norms (Shaffer &amp; Ginsberg, 2017; Nunan et al., 2010) supports the use of RMSSD as the index of choice for short recordings and provides population norms suitable for standardization.</w:t>
      </w:r>
    </w:p>
    <w:p>
      <w:pPr>
        <w:spacing w:after="0" w:before="0" w:line="480"/>
        <w:ind w:firstLine="720"/>
        <w:jc w:val="both"/>
      </w:pPr>
      <w:r>
        <w:rPr>
          <w:rFonts w:ascii="Times New Roman" w:cs="Times New Roman" w:eastAsia="Times New Roman" w:hAnsi="Times New Roman"/>
          <w:sz w:val="24"/>
          <w:szCs w:val="24"/>
        </w:rPr>
        <w:t xml:space="preserve">Three caveats apply to the polyvagal-precision mapping. First, the relationship between HRV and behavioral regulation is robust at the group level but variable within individual sessions; γ should be smoothed across short windows rather than computed from a single beat-to-beat sample (Laborde et al., 2017). Second, baseline-adjusted HRV (i.e., RMSSD relative to the individual’s typical resting value) outperforms raw RMSSD for predicting engagement (Mosley &amp; Laborde, 2022). Third, HRV varies with respiration, posture, and time of day; standardized measurement protocols are required for reliable γ estimation (Laborde et al., 2017; Quintana &amp; Heathers, 2014). The algorithm specified in Section 3 incorporates each of these adjustments.</w:t>
      </w:r>
    </w:p>
    <w:p>
      <w:pPr>
        <w:spacing w:after="100" w:before="180" w:line="480"/>
        <w:ind w:firstLine="0"/>
        <w:jc w:val="left"/>
      </w:pPr>
      <w:r>
        <w:rPr>
          <w:rFonts w:ascii="Times New Roman" w:cs="Times New Roman" w:eastAsia="Times New Roman" w:hAnsi="Times New Roman"/>
          <w:b/>
          <w:bCs/>
          <w:sz w:val="24"/>
          <w:szCs w:val="24"/>
        </w:rPr>
        <w:t xml:space="preserve">2.4 Information Gain I from Bayesian Skill Belief</w:t>
      </w:r>
    </w:p>
    <w:p>
      <w:pPr>
        <w:spacing w:after="0" w:before="0" w:line="480"/>
        <w:ind w:firstLine="720"/>
        <w:jc w:val="both"/>
      </w:pPr>
      <w:r>
        <w:rPr>
          <w:rFonts w:ascii="Times New Roman" w:cs="Times New Roman" w:eastAsia="Times New Roman" w:hAnsi="Times New Roman"/>
          <w:sz w:val="24"/>
          <w:szCs w:val="24"/>
        </w:rPr>
        <w:t xml:space="preserve">Information gain about the learner’s skill belief is the second component of EFE. Given a posterior distribution Q(L | history) over the learner’s level on a particular skill axis prior to receiving task c, and an updated posterior Q(L | history, response(c)) after the learner’s anticipated response to c, the expected information gain about L from c is the Kullback–Leibler divergence:</w:t>
      </w:r>
    </w:p>
    <w:p>
      <w:pPr>
        <w:spacing w:after="120" w:before="120" w:line="480"/>
        <w:ind w:firstLine="0"/>
        <w:jc w:val="center"/>
      </w:pPr>
      <w:r>
        <w:rPr>
          <w:rFonts w:ascii="Times New Roman" w:cs="Times New Roman" w:eastAsia="Times New Roman" w:hAnsi="Times New Roman"/>
          <w:i/>
          <w:iCs/>
          <w:sz w:val="24"/>
          <w:szCs w:val="24"/>
        </w:rPr>
        <w:t xml:space="preserve">I(c) = 𝔼[ KL( Q(L | h, r) ‖ Q(L | h) ) ]</w:t>
      </w:r>
    </w:p>
    <w:p>
      <w:pPr>
        <w:spacing w:after="0" w:before="0" w:line="480"/>
        <w:ind w:firstLine="720"/>
        <w:jc w:val="both"/>
      </w:pPr>
      <w:r>
        <w:rPr>
          <w:rFonts w:ascii="Times New Roman" w:cs="Times New Roman" w:eastAsia="Times New Roman" w:hAnsi="Times New Roman"/>
          <w:sz w:val="24"/>
          <w:szCs w:val="24"/>
        </w:rPr>
        <w:t xml:space="preserve">where the expectation is taken over the predictive distribution of responses r under task c. This is the standard expected information gain quantity from Bayesian experimental design (Lindley, 1956; Ryan et al., 2016; Rainforth et al., 2024). For computational tractability, we represent the skill posterior on each axis as a Beta or truncated Gaussian distribution over the continuous Fischer level scale (L7 to L13), update it after each response via approximate Bayesian inference, and compute I(c) by Monte Carlo sampling of response trajectories. Details are given in Section 3.</w:t>
      </w:r>
    </w:p>
    <w:p>
      <w:pPr>
        <w:spacing w:after="0" w:before="0" w:line="480"/>
        <w:ind w:firstLine="720"/>
        <w:jc w:val="both"/>
      </w:pPr>
      <w:r>
        <w:rPr>
          <w:rFonts w:ascii="Times New Roman" w:cs="Times New Roman" w:eastAsia="Times New Roman" w:hAnsi="Times New Roman"/>
          <w:sz w:val="24"/>
          <w:szCs w:val="24"/>
        </w:rPr>
        <w:t xml:space="preserve">Information gain in this formulation has a natural interpretation as the optimization of the zone of proximal development (Vygotsky, 1978). Tasks too far below the learner’s current functional level produce predictable responses; the posterior barely shifts; I ≈ 0. Tasks too far above current level produce noisy responses that update the posterior chaotically but not in a directed way; I is again low because the response distribution is uninformative. Tasks at or slightly above current functional level (with appropriate scaffolding) produce responses that resolve uncertainty about whether the learner has consolidated the next-level skill; I is high. The framework therefore makes a quantitative prediction—visible in the inverted-U curve evaluated in Section 5—that has direct correspondence to classical findings on optimal challenge (Csikszentmihalyi, 1990; Bjork &amp; Bjork, 2011; Sweller et al., 2019).</w:t>
      </w:r>
    </w:p>
    <w:p>
      <w:pPr>
        <w:spacing w:after="100" w:before="180" w:line="480"/>
        <w:ind w:firstLine="0"/>
        <w:jc w:val="left"/>
      </w:pPr>
      <w:r>
        <w:rPr>
          <w:rFonts w:ascii="Times New Roman" w:cs="Times New Roman" w:eastAsia="Times New Roman" w:hAnsi="Times New Roman"/>
          <w:b/>
          <w:bCs/>
          <w:sz w:val="24"/>
          <w:szCs w:val="24"/>
        </w:rPr>
        <w:t xml:space="preserve">2.5 Pragmatic Value U from Goal Alignment</w:t>
      </w:r>
    </w:p>
    <w:p>
      <w:pPr>
        <w:spacing w:after="0" w:before="0" w:line="480"/>
        <w:ind w:firstLine="720"/>
        <w:jc w:val="both"/>
      </w:pPr>
      <w:r>
        <w:rPr>
          <w:rFonts w:ascii="Times New Roman" w:cs="Times New Roman" w:eastAsia="Times New Roman" w:hAnsi="Times New Roman"/>
          <w:sz w:val="24"/>
          <w:szCs w:val="24"/>
        </w:rPr>
        <w:t xml:space="preserve">Pragmatic value reflects the alignment between the expected outcomes of a candidate task and the learner’s prior preferences—what the learner has declared they want to be able to do, or be, or feel. For our purposes, we represent the learner’s goal as a vector g ∈ ℝᵏ over a set of k goal dimensions (e.g., sustained attention, social communication, anxiety regulation, sleep onset), normalized to unit length. Each candidate task c is annotated with a target vector t_c ∈ ℝᵏ specifying which goal dimensions the task is expected to influence. The pragmatic value of c is then the cosine similarity between g and t_c:</w:t>
      </w:r>
    </w:p>
    <w:p>
      <w:pPr>
        <w:spacing w:after="120" w:before="120" w:line="480"/>
        <w:ind w:firstLine="0"/>
        <w:jc w:val="center"/>
      </w:pPr>
      <w:r>
        <w:rPr>
          <w:rFonts w:ascii="Times New Roman" w:cs="Times New Roman" w:eastAsia="Times New Roman" w:hAnsi="Times New Roman"/>
          <w:i/>
          <w:iCs/>
          <w:sz w:val="24"/>
          <w:szCs w:val="24"/>
        </w:rPr>
        <w:t xml:space="preserve">U(c) = (g · t_c) / (‖g‖ · ‖t_c‖)</w:t>
      </w:r>
    </w:p>
    <w:p>
      <w:pPr>
        <w:spacing w:after="0" w:before="0" w:line="480"/>
        <w:ind w:firstLine="720"/>
        <w:jc w:val="both"/>
      </w:pPr>
      <w:r>
        <w:rPr>
          <w:rFonts w:ascii="Times New Roman" w:cs="Times New Roman" w:eastAsia="Times New Roman" w:hAnsi="Times New Roman"/>
          <w:sz w:val="24"/>
          <w:szCs w:val="24"/>
        </w:rPr>
        <w:t xml:space="preserve">Cosine similarity is a convenient but not a necessary choice. Alternative formulations (e.g., regularized inner product, learned utility function, KL divergence between preference and outcome distributions) yield the same qualitative behavior in our experiments. The choice of cosine similarity is motivated by interpretability (U is bounded in [−1, 1], with intuitive readings of perfect alignment, orthogonality, and opposition) and by tractability (U is computed in O(k) time per task).</w:t>
      </w:r>
    </w:p>
    <w:p>
      <w:pPr>
        <w:spacing w:after="0" w:before="0" w:line="480"/>
        <w:ind w:firstLine="720"/>
        <w:jc w:val="both"/>
      </w:pPr>
      <w:r>
        <w:rPr>
          <w:rFonts w:ascii="Times New Roman" w:cs="Times New Roman" w:eastAsia="Times New Roman" w:hAnsi="Times New Roman"/>
          <w:sz w:val="24"/>
          <w:szCs w:val="24"/>
        </w:rPr>
        <w:t xml:space="preserve">Two refinements deserve note. First, the learner’s goal vector g is not a static input but a representation that evolves as the learner clarifies what they want (Mascolo &amp; Fischer, 2015; Greene &amp; Azevedo, 2007). Operationally, g is initialized from intake-time goal elicitation and updated through Observable Model Refinement (Section 5) as the learner’s self-model develops. Second, the goal vector should reflect both the learner’s explicit goals and the clinician’s sense of where intervention should be directed; in clinical settings, these are often distinguishable but not in conflict. The version of U used in our experiments uses the learner-declared goal alone; clinician-augmented versions are a possible refinement.</w:t>
      </w:r>
    </w:p>
    <w:p>
      <w:pPr>
        <w:spacing w:after="100" w:before="180" w:line="480"/>
        <w:ind w:firstLine="0"/>
        <w:jc w:val="left"/>
      </w:pPr>
      <w:r>
        <w:rPr>
          <w:rFonts w:ascii="Times New Roman" w:cs="Times New Roman" w:eastAsia="Times New Roman" w:hAnsi="Times New Roman"/>
          <w:b/>
          <w:bCs/>
          <w:sz w:val="24"/>
          <w:szCs w:val="24"/>
        </w:rPr>
        <w:t xml:space="preserve">2.6 The Combined Criterion</w:t>
      </w:r>
    </w:p>
    <w:p>
      <w:pPr>
        <w:spacing w:after="0" w:before="0" w:line="480"/>
        <w:ind w:firstLine="720"/>
        <w:jc w:val="both"/>
      </w:pPr>
      <w:r>
        <w:rPr>
          <w:rFonts w:ascii="Times New Roman" w:cs="Times New Roman" w:eastAsia="Times New Roman" w:hAnsi="Times New Roman"/>
          <w:sz w:val="24"/>
          <w:szCs w:val="24"/>
        </w:rPr>
        <w:t xml:space="preserve">Combining the three components, the full EFE for candidate task c becomes:</w:t>
      </w:r>
    </w:p>
    <w:p>
      <w:pPr>
        <w:spacing w:after="120" w:before="120" w:line="480"/>
        <w:ind w:firstLine="0"/>
        <w:jc w:val="center"/>
      </w:pPr>
      <w:r>
        <w:rPr>
          <w:rFonts w:ascii="Times New Roman" w:cs="Times New Roman" w:eastAsia="Times New Roman" w:hAnsi="Times New Roman"/>
          <w:i/>
          <w:iCs/>
          <w:sz w:val="24"/>
          <w:szCs w:val="24"/>
        </w:rPr>
        <w:t xml:space="preserve">G(c) = − sigmoid((RMSSD − μ)/σ) · [ 𝔼[KL(Q(L|h,r) ‖ Q(L|h))] + cos(g, t_c) ]</w:t>
      </w:r>
    </w:p>
    <w:p>
      <w:pPr>
        <w:spacing w:after="0" w:before="0" w:line="480"/>
        <w:ind w:firstLine="720"/>
        <w:jc w:val="both"/>
      </w:pPr>
      <w:r>
        <w:rPr>
          <w:rFonts w:ascii="Times New Roman" w:cs="Times New Roman" w:eastAsia="Times New Roman" w:hAnsi="Times New Roman"/>
          <w:sz w:val="24"/>
          <w:szCs w:val="24"/>
        </w:rPr>
        <w:t xml:space="preserve">Each term has an independent measurement basis: γ from HRV, I from response-distribution sampling under the current skill posterior, U from declared goal and task annotation. The combined criterion is computed for each candidate task, and the task with the minimum G (equivalently, maximum γ·(I + U)) is selected. The full procedure, including the Step 0 safety filter, the multi-axis skill posterior, and the response-distribution sampler, is specified in Section 3.</w:t>
      </w:r>
    </w:p>
    <w:p>
      <w:pPr>
        <w:spacing w:after="100" w:before="180" w:line="480"/>
        <w:ind w:firstLine="0"/>
        <w:jc w:val="left"/>
      </w:pPr>
      <w:r>
        <w:rPr>
          <w:rFonts w:ascii="Times New Roman" w:cs="Times New Roman" w:eastAsia="Times New Roman" w:hAnsi="Times New Roman"/>
          <w:b/>
          <w:bCs/>
          <w:sz w:val="24"/>
          <w:szCs w:val="24"/>
        </w:rPr>
        <w:t xml:space="preserve">2.7 Relationship to Self-Regulated Learning Theory</w:t>
      </w:r>
    </w:p>
    <w:p>
      <w:pPr>
        <w:spacing w:after="0" w:before="0" w:line="480"/>
        <w:ind w:firstLine="720"/>
        <w:jc w:val="both"/>
      </w:pPr>
      <w:r>
        <w:rPr>
          <w:rFonts w:ascii="Times New Roman" w:cs="Times New Roman" w:eastAsia="Times New Roman" w:hAnsi="Times New Roman"/>
          <w:sz w:val="24"/>
          <w:szCs w:val="24"/>
        </w:rPr>
        <w:t xml:space="preserve">Zimmerman’s (2000) three-phase model of self-regulated learning—forethought, performance, and self-reflection—has provided the dominant theoretical framework for SRL research for more than two decades (Panadero, 2017; Greene, 2017). Each phase has been operationalized through multiple validated instruments (Roth et al., 2016; Schwinger et al., 2020), and the model has supported a substantial body of empirical and intervention research (Dignath &amp; Büttner, 2008; Theobald, 2021). What it has not provided, however, is an algorithmic specification: a clinician or designer wishing to support a learner’s self-regulation must integrate SRL principles with their own judgment about which intervention to deliver next.</w:t>
      </w:r>
    </w:p>
    <w:p>
      <w:pPr>
        <w:spacing w:after="0" w:before="0" w:line="480"/>
        <w:ind w:firstLine="720"/>
        <w:jc w:val="both"/>
      </w:pPr>
      <w:r>
        <w:rPr>
          <w:rFonts w:ascii="Times New Roman" w:cs="Times New Roman" w:eastAsia="Times New Roman" w:hAnsi="Times New Roman"/>
          <w:sz w:val="24"/>
          <w:szCs w:val="24"/>
        </w:rPr>
        <w:t xml:space="preserve">The EFE selector developed here can be read as an algorithmic instantiation of the forethought–performance interface. In the forethought phase, the learner sets a goal (g) and the system represents this goal vectorially. During the performance phase, the system monitors physiological state (γ via HRV) and skill belief (Q(L | h)) and selects, for each next task, the candidate that maximally reduces uncertainty about the learner’s skill while remaining aligned with the goal. In the self-reflection phase, the learner’s response to the selected task updates both the skill posterior (Bayesian update on Q(L | h)) and the goal vector (through Observable Model Refinement, Section 5). The forethought–performance–self-reflection cycle is, in this view, the experiential face of a free-energy-minimizing inference loop, with each Zimmerman phase corresponding to a distinct computational operation. We do not, in this article, take the strong claim that all of SRL is reducible to free energy minimization; we take the weaker, sufficient claim that EFE provides a computationally adequate criterion for the next-task selection problem that arises within SRL.</w:t>
      </w:r>
    </w:p>
    <w:p>
      <w:r>
        <w:br w:type="page"/>
      </w:r>
    </w:p>
    <w:p>
      <w:pPr>
        <w:spacing w:after="60" w:before="240" w:line="360"/>
        <w:ind w:firstLine="0"/>
      </w:pPr>
      <w:r>
        <w:rPr>
          <w:rFonts w:ascii="Times New Roman" w:cs="Times New Roman" w:eastAsia="Times New Roman" w:hAnsi="Times New Roman"/>
          <w:b/>
          <w:bCs/>
          <w:sz w:val="24"/>
          <w:szCs w:val="24"/>
        </w:rPr>
        <w:t xml:space="preserve">Table 1</w:t>
      </w:r>
    </w:p>
    <w:p>
      <w:pPr>
        <w:spacing w:after="120" w:before="0" w:line="360"/>
        <w:ind w:firstLine="0"/>
      </w:pPr>
      <w:r>
        <w:rPr>
          <w:rFonts w:ascii="Times New Roman" w:cs="Times New Roman" w:eastAsia="Times New Roman" w:hAnsi="Times New Roman"/>
          <w:i/>
          <w:iCs/>
          <w:sz w:val="24"/>
          <w:szCs w:val="24"/>
        </w:rPr>
        <w:t xml:space="preserve">Conceptual Correspondences Among Self-Regulated Learning, Active Inference, and Dynamic Skill Theory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80"/>
        <w:gridCol w:w="2520"/>
        <w:gridCol w:w="2520"/>
        <w:gridCol w:w="2240"/>
      </w:tblGrid>
      <w:tr>
        <w:trPr>
          <w:tblHeader/>
        </w:trPr>
        <w:tc>
          <w:tcPr>
            <w:tcW w:type="dxa" w:w="208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Construct</w:t>
            </w:r>
          </w:p>
        </w:tc>
        <w:tc>
          <w:tcPr>
            <w:tcW w:type="dxa" w:w="252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SRL (Zimmerman, 2000)</w:t>
            </w:r>
          </w:p>
        </w:tc>
        <w:tc>
          <w:tcPr>
            <w:tcW w:type="dxa" w:w="252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Active Inference (Parr et al., 2022)</w:t>
            </w:r>
          </w:p>
        </w:tc>
        <w:tc>
          <w:tcPr>
            <w:tcW w:type="dxa" w:w="224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DST (Fischer &amp; Bidell, 2006)</w:t>
            </w:r>
          </w:p>
        </w:tc>
      </w:tr>
      <w:tr>
        <w:tc>
          <w:tcPr>
            <w:tcW w:type="dxa" w:w="208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Goal setting</w:t>
            </w:r>
          </w:p>
        </w:tc>
        <w:tc>
          <w:tcPr>
            <w:tcW w:type="dxa" w:w="252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Forethought phase: task analysis, strategic planning</w:t>
            </w:r>
          </w:p>
        </w:tc>
        <w:tc>
          <w:tcPr>
            <w:tcW w:type="dxa" w:w="252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Prior preferences over outcomes; goal vector g</w:t>
            </w:r>
          </w:p>
        </w:tc>
        <w:tc>
          <w:tcPr>
            <w:tcW w:type="dxa" w:w="22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Functional level relative to optimal: implicit target</w:t>
            </w:r>
          </w:p>
        </w:tc>
      </w:tr>
      <w:tr>
        <w:tc>
          <w:tcPr>
            <w:tcW w:type="dxa" w:w="208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Self-monitoring</w:t>
            </w:r>
          </w:p>
        </w:tc>
        <w:tc>
          <w:tcPr>
            <w:tcW w:type="dxa" w:w="252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Performance phase: self-observation, metacognitive monitoring</w:t>
            </w:r>
          </w:p>
        </w:tc>
        <w:tc>
          <w:tcPr>
            <w:tcW w:type="dxa" w:w="252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Posterior belief Q(L|h); HRV-indexed γ</w:t>
            </w:r>
          </w:p>
        </w:tc>
        <w:tc>
          <w:tcPr>
            <w:tcW w:type="dxa" w:w="22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Tracking of skill level across contexts</w:t>
            </w:r>
          </w:p>
        </w:tc>
      </w:tr>
      <w:tr>
        <w:tc>
          <w:tcPr>
            <w:tcW w:type="dxa" w:w="208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Strategy selection</w:t>
            </w:r>
          </w:p>
        </w:tc>
        <w:tc>
          <w:tcPr>
            <w:tcW w:type="dxa" w:w="252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Performance phase: task strategies, self-instruction</w:t>
            </w:r>
          </w:p>
        </w:tc>
        <w:tc>
          <w:tcPr>
            <w:tcW w:type="dxa" w:w="252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Action selection: argmin G over policies</w:t>
            </w:r>
          </w:p>
        </w:tc>
        <w:tc>
          <w:tcPr>
            <w:tcW w:type="dxa" w:w="22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Scaffolding choice within the optimal–functional gap</w:t>
            </w:r>
          </w:p>
        </w:tc>
      </w:tr>
      <w:tr>
        <w:tc>
          <w:tcPr>
            <w:tcW w:type="dxa" w:w="208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Adaptive challenge</w:t>
            </w:r>
          </w:p>
        </w:tc>
        <w:tc>
          <w:tcPr>
            <w:tcW w:type="dxa" w:w="252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Performance phase: persistence, effort regulation</w:t>
            </w:r>
          </w:p>
        </w:tc>
        <w:tc>
          <w:tcPr>
            <w:tcW w:type="dxa" w:w="252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Information gain I in the optimal range</w:t>
            </w:r>
          </w:p>
        </w:tc>
        <w:tc>
          <w:tcPr>
            <w:tcW w:type="dxa" w:w="22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Zone of proximal development</w:t>
            </w:r>
          </w:p>
        </w:tc>
      </w:tr>
      <w:tr>
        <w:tc>
          <w:tcPr>
            <w:tcW w:type="dxa" w:w="208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Outcome appraisal</w:t>
            </w:r>
          </w:p>
        </w:tc>
        <w:tc>
          <w:tcPr>
            <w:tcW w:type="dxa" w:w="252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Self-reflection phase: self-judgment, attribution</w:t>
            </w:r>
          </w:p>
        </w:tc>
        <w:tc>
          <w:tcPr>
            <w:tcW w:type="dxa" w:w="252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Variational free energy on observed outcomes</w:t>
            </w:r>
          </w:p>
        </w:tc>
        <w:tc>
          <w:tcPr>
            <w:tcW w:type="dxa" w:w="22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Stage-appropriate evaluation of performance</w:t>
            </w:r>
          </w:p>
        </w:tc>
      </w:tr>
      <w:tr>
        <w:tc>
          <w:tcPr>
            <w:tcW w:type="dxa" w:w="208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Self-model refinement</w:t>
            </w:r>
          </w:p>
        </w:tc>
        <w:tc>
          <w:tcPr>
            <w:tcW w:type="dxa" w:w="252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Self-reflection phase: adaptive inferences, self-satisfaction</w:t>
            </w:r>
          </w:p>
        </w:tc>
        <w:tc>
          <w:tcPr>
            <w:tcW w:type="dxa" w:w="252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Update of generative model parameters</w:t>
            </w:r>
          </w:p>
        </w:tc>
        <w:tc>
          <w:tcPr>
            <w:tcW w:type="dxa" w:w="22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Reorganization of skill structure at developmental transitions</w:t>
            </w:r>
          </w:p>
        </w:tc>
      </w:tr>
      <w:tr>
        <w:tc>
          <w:tcPr>
            <w:tcW w:type="dxa" w:w="208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Regulation readiness</w:t>
            </w:r>
          </w:p>
        </w:tc>
        <w:tc>
          <w:tcPr>
            <w:tcW w:type="dxa" w:w="252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Performance phase: volitional control</w:t>
            </w:r>
          </w:p>
        </w:tc>
        <w:tc>
          <w:tcPr>
            <w:tcW w:type="dxa" w:w="252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Precision γ from polyvagal indices</w:t>
            </w:r>
          </w:p>
        </w:tc>
        <w:tc>
          <w:tcPr>
            <w:tcW w:type="dxa" w:w="22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State-dependent functional level</w:t>
            </w:r>
          </w:p>
        </w:tc>
      </w:tr>
    </w:tbl>
    <w:p>
      <w:pPr>
        <w:spacing w:after="240" w:before="10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SRL = self-regulated learning; DST = dynamic skill theory. Correspondences are interpretive; alternative mappings are possible. The third row (strategy selection / action selection) is the locus of the next-task selector developed in this article.</w:t>
      </w:r>
    </w:p>
    <w:p>
      <w:r>
        <w:br w:type="page"/>
      </w:r>
    </w:p>
    <w:p>
      <w:pPr>
        <w:spacing w:after="60" w:before="60"/>
        <w:jc w:val="center"/>
      </w:pPr>
      <w:r>
        <w:drawing>
          <wp:inline distT="0" distB="0" distL="0" distR="0">
            <wp:extent cx="5760720" cy="3211379"/>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60720" cy="3211379"/>
                    </a:xfrm>
                    <a:prstGeom prst="rect">
                      <a:avLst/>
                    </a:prstGeom>
                  </pic:spPr>
                </pic:pic>
              </a:graphicData>
            </a:graphic>
          </wp:inline>
        </w:drawing>
      </w:r>
    </w:p>
    <w:p>
      <w:pPr>
        <w:spacing w:after="60" w:before="180" w:line="360"/>
        <w:ind w:firstLine="0"/>
      </w:pPr>
      <w:r>
        <w:rPr>
          <w:rFonts w:ascii="Times New Roman" w:cs="Times New Roman" w:eastAsia="Times New Roman" w:hAnsi="Times New Roman"/>
          <w:b/>
          <w:bCs/>
          <w:sz w:val="24"/>
          <w:szCs w:val="24"/>
        </w:rPr>
        <w:t xml:space="preserve">Figure 1</w:t>
      </w:r>
    </w:p>
    <w:p>
      <w:pPr>
        <w:spacing w:after="60" w:before="0" w:line="360"/>
        <w:ind w:firstLine="0"/>
      </w:pPr>
      <w:r>
        <w:rPr>
          <w:rFonts w:ascii="Times New Roman" w:cs="Times New Roman" w:eastAsia="Times New Roman" w:hAnsi="Times New Roman"/>
          <w:i/>
          <w:iCs/>
          <w:sz w:val="24"/>
          <w:szCs w:val="24"/>
        </w:rPr>
        <w:t xml:space="preserve">Expected free energy decomposition for next-task selection.</w:t>
      </w:r>
    </w:p>
    <w:p>
      <w:pPr>
        <w:spacing w:after="240" w:before="6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The three input boxes represent the components of G(c) for candidate task c: precision γ derived from polyvagal indices (HRV), expected information gain I derived from the Bayesian skill posterior, and pragmatic value U derived from goal–task alignment. The next task is selected by minimizing G across the candidate library. Equation conventions follow Smith et al. (2022).</w:t>
      </w:r>
    </w:p>
    <w:p>
      <w:r>
        <w:br w:type="page"/>
      </w:r>
    </w:p>
    <w:p>
      <w:pPr>
        <w:spacing w:after="120" w:before="240" w:line="480"/>
        <w:ind w:firstLine="0"/>
        <w:jc w:val="center"/>
      </w:pPr>
      <w:r>
        <w:rPr>
          <w:rFonts w:ascii="Times New Roman" w:cs="Times New Roman" w:eastAsia="Times New Roman" w:hAnsi="Times New Roman"/>
          <w:b/>
          <w:bCs/>
          <w:sz w:val="26"/>
          <w:szCs w:val="26"/>
        </w:rPr>
        <w:t xml:space="preserve">3. Algorithm Specification</w:t>
      </w:r>
    </w:p>
    <w:p>
      <w:pPr>
        <w:spacing w:after="0" w:before="0" w:line="480"/>
        <w:ind w:firstLine="720"/>
        <w:jc w:val="both"/>
      </w:pPr>
      <w:r>
        <w:rPr>
          <w:rFonts w:ascii="Times New Roman" w:cs="Times New Roman" w:eastAsia="Times New Roman" w:hAnsi="Times New Roman"/>
          <w:sz w:val="24"/>
          <w:szCs w:val="24"/>
        </w:rPr>
        <w:t xml:space="preserve">This section provides a complete specification of the next-task selector. We organize the description into the formal input/output signature (Section 3.1), pseudocode for the main selector and its four sub-modules (Section 3.2), the structure of the candidate library (Section 3.3), implementation notes on numerical considerations (Section 3.4), and the Step 0 safety filter that precedes scoring (Section 3.5). All design choices in this section are motivated by either tractability (the algorithm must run in real time during a learner session), interpretability (each component must be inspectable and explainable to a clinician), or evaluability (each component must be assessable against a measurable correlate).</w:t>
      </w:r>
    </w:p>
    <w:p>
      <w:pPr>
        <w:spacing w:after="100" w:before="180" w:line="480"/>
        <w:ind w:firstLine="0"/>
        <w:jc w:val="left"/>
      </w:pPr>
      <w:r>
        <w:rPr>
          <w:rFonts w:ascii="Times New Roman" w:cs="Times New Roman" w:eastAsia="Times New Roman" w:hAnsi="Times New Roman"/>
          <w:b/>
          <w:bCs/>
          <w:sz w:val="24"/>
          <w:szCs w:val="24"/>
        </w:rPr>
        <w:t xml:space="preserve">3.1 Inputs and Outputs</w:t>
      </w:r>
    </w:p>
    <w:p>
      <w:pPr>
        <w:spacing w:after="0" w:before="0" w:line="480"/>
        <w:ind w:firstLine="720"/>
        <w:jc w:val="both"/>
      </w:pPr>
      <w:r>
        <w:rPr>
          <w:rFonts w:ascii="Times New Roman" w:cs="Times New Roman" w:eastAsia="Times New Roman" w:hAnsi="Times New Roman"/>
          <w:sz w:val="24"/>
          <w:szCs w:val="24"/>
        </w:rPr>
        <w:t xml:space="preserve">At decision time t, the selector receives the following inputs. (a) Physiological state S_t, a vector containing the most recent HRV measurement RMSSD_t, baseline-adjusted RMSSD relative to the learner’s typical resting value, and ancillary indices (HF-HRV, breathing rate, time of day). (b) Skill posterior Q_t, a vector of probability distributions over Fischer level (L7 to L13, discretized into 7 bins per axis) for each of five skill axes: sustained attention, working memory, emotional regulation, time awareness, and self-cognition. (c) Goal vector g_t, the learner’s declared near-term goals over a fixed five-dimensional goal space matched to the skill axes, normalized to unit length. (d) Candidate library 𝒞, a set of admissible tasks (typically |𝒞| ≈ 150) each annotated with metadata (target axis vector t_c, expected difficulty profile d_c, expected duration, contraindication flags). (e) Session history H, a record of recently delivered tasks, learner responses, and dimension-specific engagement statistics, used for diversity adjustment and Step 0 filtering.</w:t>
      </w:r>
    </w:p>
    <w:p>
      <w:pPr>
        <w:spacing w:after="0" w:before="0" w:line="480"/>
        <w:ind w:firstLine="720"/>
        <w:jc w:val="both"/>
      </w:pPr>
      <w:r>
        <w:rPr>
          <w:rFonts w:ascii="Times New Roman" w:cs="Times New Roman" w:eastAsia="Times New Roman" w:hAnsi="Times New Roman"/>
          <w:sz w:val="24"/>
          <w:szCs w:val="24"/>
        </w:rPr>
        <w:t xml:space="preserve">The output is a single task c* ∈ 𝒞 to be delivered next, plus a structured decision log that records G(c*), the decomposition into γ · I and γ · U contributions, the contribution from each skill axis, and the ranks of the top five alternative candidates. The decision log supports clinician review (Section 5), auditing (Section 7), and downstream evaluation.</w:t>
      </w:r>
    </w:p>
    <w:p>
      <w:pPr>
        <w:spacing w:after="100" w:before="180" w:line="480"/>
        <w:ind w:firstLine="0"/>
        <w:jc w:val="left"/>
      </w:pPr>
      <w:r>
        <w:rPr>
          <w:rFonts w:ascii="Times New Roman" w:cs="Times New Roman" w:eastAsia="Times New Roman" w:hAnsi="Times New Roman"/>
          <w:b/>
          <w:bCs/>
          <w:sz w:val="24"/>
          <w:szCs w:val="24"/>
        </w:rPr>
        <w:t xml:space="preserve">3.2 Main Selector and Sub-Modules</w:t>
      </w:r>
    </w:p>
    <w:p>
      <w:pPr>
        <w:spacing w:after="0" w:before="0" w:line="480"/>
        <w:ind w:firstLine="720"/>
        <w:jc w:val="both"/>
      </w:pPr>
      <w:r>
        <w:rPr>
          <w:rFonts w:ascii="Times New Roman" w:cs="Times New Roman" w:eastAsia="Times New Roman" w:hAnsi="Times New Roman"/>
          <w:sz w:val="24"/>
          <w:szCs w:val="24"/>
        </w:rPr>
        <w:t xml:space="preserve">The main selector loop is given in pseudocode in Algorithm 1. The selector calls four sub-modules: M1 (precision estimator), M2 (information-gain computer), M3 (pragmatic-value computer), and M4 (free energy minimizer with diversity adjustment).</w:t>
      </w:r>
    </w:p>
    <w:p>
      <w:pPr>
        <w:spacing w:after="120" w:before="240" w:line="280"/>
        <w:ind w:firstLine="0"/>
      </w:pPr>
      <w:r>
        <w:rPr>
          <w:rFonts w:ascii="Times New Roman" w:cs="Times New Roman" w:eastAsia="Times New Roman" w:hAnsi="Times New Roman"/>
          <w:b/>
          <w:bCs/>
          <w:sz w:val="24"/>
          <w:szCs w:val="24"/>
        </w:rPr>
        <w:t xml:space="preserve">Algorithm 1. Next-Task Selector via EFE Minimization</w:t>
      </w:r>
    </w:p>
    <w:p>
      <w:pPr>
        <w:spacing w:after="0" w:before="0" w:line="280"/>
        <w:ind w:firstLine="0"/>
      </w:pPr>
      <w:r>
        <w:rPr>
          <w:rFonts w:ascii="Courier New" w:cs="Courier New" w:eastAsia="Courier New" w:hAnsi="Courier New"/>
          <w:sz w:val="20"/>
          <w:szCs w:val="20"/>
        </w:rPr>
        <w:t xml:space="preserve">Inputs:  S_t, Q_t, g_t, 𝒞, H</w:t>
      </w:r>
    </w:p>
    <w:p>
      <w:pPr>
        <w:spacing w:after="0" w:before="0" w:line="280"/>
        <w:ind w:firstLine="0"/>
      </w:pPr>
      <w:r>
        <w:rPr>
          <w:rFonts w:ascii="Courier New" w:cs="Courier New" w:eastAsia="Courier New" w:hAnsi="Courier New"/>
          <w:sz w:val="20"/>
          <w:szCs w:val="20"/>
        </w:rPr>
        <w:t xml:space="preserve">Output:  c* (selected task), log (decision record)</w:t>
      </w:r>
    </w:p>
    <w:p>
      <w:pPr>
        <w:spacing w:after="0" w:before="0" w:line="280"/>
        <w:ind w:firstLine="0"/>
      </w:pPr>
      <w:r>
        <w:rPr>
          <w:rFonts w:ascii="Courier New" w:cs="Courier New" w:eastAsia="Courier New" w:hAnsi="Courier New"/>
          <w:sz w:val="20"/>
          <w:szCs w:val="20"/>
        </w:rPr>
        <w:t xml:space="preserve"/>
      </w:r>
    </w:p>
    <w:p>
      <w:pPr>
        <w:spacing w:after="0" w:before="0" w:line="280"/>
        <w:ind w:firstLine="0"/>
      </w:pPr>
      <w:r>
        <w:rPr>
          <w:rFonts w:ascii="Courier New" w:cs="Courier New" w:eastAsia="Courier New" w:hAnsi="Courier New"/>
          <w:sz w:val="20"/>
          <w:szCs w:val="20"/>
        </w:rPr>
        <w:t xml:space="preserve">1.  𝒞′ ← Step0SafetyFilter(𝒞, S_t, H)         // hard filter (Section 3.5)</w:t>
      </w:r>
    </w:p>
    <w:p>
      <w:pPr>
        <w:spacing w:after="0" w:before="0" w:line="280"/>
        <w:ind w:firstLine="0"/>
      </w:pPr>
      <w:r>
        <w:rPr>
          <w:rFonts w:ascii="Courier New" w:cs="Courier New" w:eastAsia="Courier New" w:hAnsi="Courier New"/>
          <w:sz w:val="20"/>
          <w:szCs w:val="20"/>
        </w:rPr>
        <w:t xml:space="preserve">2.  γ ← M1_PrecisionFromHRV(S_t)               // (Section 3.2.1)</w:t>
      </w:r>
    </w:p>
    <w:p>
      <w:pPr>
        <w:spacing w:after="0" w:before="0" w:line="280"/>
        <w:ind w:firstLine="0"/>
      </w:pPr>
      <w:r>
        <w:rPr>
          <w:rFonts w:ascii="Courier New" w:cs="Courier New" w:eastAsia="Courier New" w:hAnsi="Courier New"/>
          <w:sz w:val="20"/>
          <w:szCs w:val="20"/>
        </w:rPr>
        <w:t xml:space="preserve">3.  for each c ∈ 𝒞′:</w:t>
      </w:r>
    </w:p>
    <w:p>
      <w:pPr>
        <w:spacing w:after="0" w:before="0" w:line="280"/>
        <w:ind w:firstLine="0"/>
      </w:pPr>
      <w:r>
        <w:rPr>
          <w:rFonts w:ascii="Courier New" w:cs="Courier New" w:eastAsia="Courier New" w:hAnsi="Courier New"/>
          <w:sz w:val="20"/>
          <w:szCs w:val="20"/>
        </w:rPr>
        <w:t xml:space="preserve">4.      I(c) ← M2_InfoGain(c, Q_t)             // (Section 3.2.2)</w:t>
      </w:r>
    </w:p>
    <w:p>
      <w:pPr>
        <w:spacing w:after="0" w:before="0" w:line="280"/>
        <w:ind w:firstLine="0"/>
      </w:pPr>
      <w:r>
        <w:rPr>
          <w:rFonts w:ascii="Courier New" w:cs="Courier New" w:eastAsia="Courier New" w:hAnsi="Courier New"/>
          <w:sz w:val="20"/>
          <w:szCs w:val="20"/>
        </w:rPr>
        <w:t xml:space="preserve">5.      U(c) ← M3_PragmaticValue(c, g_t)       // (Section 3.2.3)</w:t>
      </w:r>
    </w:p>
    <w:p>
      <w:pPr>
        <w:spacing w:after="0" w:before="0" w:line="280"/>
        <w:ind w:firstLine="0"/>
      </w:pPr>
      <w:r>
        <w:rPr>
          <w:rFonts w:ascii="Courier New" w:cs="Courier New" w:eastAsia="Courier New" w:hAnsi="Courier New"/>
          <w:sz w:val="20"/>
          <w:szCs w:val="20"/>
        </w:rPr>
        <w:t xml:space="preserve">6.      G(c) ← − γ · ( I(c) + U(c) )</w:t>
      </w:r>
    </w:p>
    <w:p>
      <w:pPr>
        <w:spacing w:after="0" w:before="0" w:line="280"/>
        <w:ind w:firstLine="0"/>
      </w:pPr>
      <w:r>
        <w:rPr>
          <w:rFonts w:ascii="Courier New" w:cs="Courier New" w:eastAsia="Courier New" w:hAnsi="Courier New"/>
          <w:sz w:val="20"/>
          <w:szCs w:val="20"/>
        </w:rPr>
        <w:t xml:space="preserve">7.  G_adj ← M4_DiversityAdjust(G, H)            // (Section 3.2.4)</w:t>
      </w:r>
    </w:p>
    <w:p>
      <w:pPr>
        <w:spacing w:after="0" w:before="0" w:line="280"/>
        <w:ind w:firstLine="0"/>
      </w:pPr>
      <w:r>
        <w:rPr>
          <w:rFonts w:ascii="Courier New" w:cs="Courier New" w:eastAsia="Courier New" w:hAnsi="Courier New"/>
          <w:sz w:val="20"/>
          <w:szCs w:val="20"/>
        </w:rPr>
        <w:t xml:space="preserve">8.  c* ← argmin_{c ∈ 𝒞′} G_adj(c)</w:t>
      </w:r>
    </w:p>
    <w:p>
      <w:pPr>
        <w:spacing w:after="0" w:before="0" w:line="280"/>
        <w:ind w:firstLine="0"/>
      </w:pPr>
      <w:r>
        <w:rPr>
          <w:rFonts w:ascii="Courier New" w:cs="Courier New" w:eastAsia="Courier New" w:hAnsi="Courier New"/>
          <w:sz w:val="20"/>
          <w:szCs w:val="20"/>
        </w:rPr>
        <w:t xml:space="preserve">9.  log ← {c*, γ, I(c*), U(c*), G(c*), top5: rank(G)[1..5]}</w:t>
      </w:r>
    </w:p>
    <w:p>
      <w:pPr>
        <w:spacing w:after="240" w:before="0" w:line="280"/>
        <w:ind w:firstLine="0"/>
      </w:pPr>
      <w:r>
        <w:rPr>
          <w:rFonts w:ascii="Courier New" w:cs="Courier New" w:eastAsia="Courier New" w:hAnsi="Courier New"/>
          <w:sz w:val="20"/>
          <w:szCs w:val="20"/>
        </w:rPr>
        <w:t xml:space="preserve">10. return (c*, log)</w:t>
      </w:r>
    </w:p>
    <w:p>
      <w:pPr>
        <w:spacing w:after="60" w:before="100" w:line="480"/>
        <w:ind w:firstLine="0"/>
        <w:jc w:val="left"/>
      </w:pPr>
      <w:r>
        <w:rPr>
          <w:rFonts w:ascii="Times New Roman" w:cs="Times New Roman" w:eastAsia="Times New Roman" w:hAnsi="Times New Roman"/>
          <w:b/>
          <w:bCs/>
          <w:i/>
          <w:iCs/>
          <w:sz w:val="24"/>
          <w:szCs w:val="24"/>
        </w:rPr>
        <w:t xml:space="preserve">3.2.1 M1 — Precision from HRV</w:t>
      </w:r>
    </w:p>
    <w:p>
      <w:pPr>
        <w:spacing w:after="0" w:before="0" w:line="480"/>
        <w:ind w:firstLine="720"/>
        <w:jc w:val="both"/>
      </w:pPr>
      <w:r>
        <w:rPr>
          <w:rFonts w:ascii="Times New Roman" w:cs="Times New Roman" w:eastAsia="Times New Roman" w:hAnsi="Times New Roman"/>
          <w:sz w:val="24"/>
          <w:szCs w:val="24"/>
        </w:rPr>
        <w:t xml:space="preserve">M1 maps the physiological state vector S_t to a scalar precision γ. The mapping is a sigmoid over standardized RMSSD with subgroup-specific normalization:</w:t>
      </w:r>
    </w:p>
    <w:p>
      <w:pPr>
        <w:spacing w:after="60" w:before="60" w:line="280"/>
        <w:ind w:firstLine="0"/>
      </w:pPr>
      <w:r>
        <w:rPr>
          <w:rFonts w:ascii="Courier New" w:cs="Courier New" w:eastAsia="Courier New" w:hAnsi="Courier New"/>
          <w:sz w:val="20"/>
          <w:szCs w:val="20"/>
        </w:rPr>
        <w:t xml:space="preserve">function M1_PrecisionFromHRV(S_t):</w:t>
      </w:r>
    </w:p>
    <w:p>
      <w:pPr>
        <w:spacing w:after="0" w:before="0" w:line="280"/>
        <w:ind w:firstLine="0"/>
      </w:pPr>
      <w:r>
        <w:rPr>
          <w:rFonts w:ascii="Courier New" w:cs="Courier New" w:eastAsia="Courier New" w:hAnsi="Courier New"/>
          <w:sz w:val="20"/>
          <w:szCs w:val="20"/>
        </w:rPr>
        <w:t xml:space="preserve">    z ← (S_t.RMSSD − μ_subgroup) / σ_subgroup</w:t>
      </w:r>
    </w:p>
    <w:p>
      <w:pPr>
        <w:spacing w:after="0" w:before="0" w:line="280"/>
        <w:ind w:firstLine="0"/>
      </w:pPr>
      <w:r>
        <w:rPr>
          <w:rFonts w:ascii="Courier New" w:cs="Courier New" w:eastAsia="Courier New" w:hAnsi="Courier New"/>
          <w:sz w:val="20"/>
          <w:szCs w:val="20"/>
        </w:rPr>
        <w:t xml:space="preserve">    z_baseline ← (S_t.RMSSD − S_t.individual_baseline) / σ_individual</w:t>
      </w:r>
    </w:p>
    <w:p>
      <w:pPr>
        <w:spacing w:after="0" w:before="0" w:line="280"/>
        <w:ind w:firstLine="0"/>
      </w:pPr>
      <w:r>
        <w:rPr>
          <w:rFonts w:ascii="Courier New" w:cs="Courier New" w:eastAsia="Courier New" w:hAnsi="Courier New"/>
          <w:sz w:val="20"/>
          <w:szCs w:val="20"/>
        </w:rPr>
        <w:t xml:space="preserve">    z_combined ← 0.5 · z + 0.5 · z_baseline</w:t>
      </w:r>
    </w:p>
    <w:p>
      <w:pPr>
        <w:spacing w:after="240" w:before="0" w:line="280"/>
        <w:ind w:firstLine="0"/>
      </w:pPr>
      <w:r>
        <w:rPr>
          <w:rFonts w:ascii="Courier New" w:cs="Courier New" w:eastAsia="Courier New" w:hAnsi="Courier New"/>
          <w:sz w:val="20"/>
          <w:szCs w:val="20"/>
        </w:rPr>
        <w:t xml:space="preserve">    return sigmoid(z_combined)</w:t>
      </w:r>
    </w:p>
    <w:p>
      <w:pPr>
        <w:spacing w:after="0" w:before="0" w:line="480"/>
        <w:ind w:firstLine="720"/>
        <w:jc w:val="both"/>
      </w:pPr>
      <w:r>
        <w:rPr>
          <w:rFonts w:ascii="Times New Roman" w:cs="Times New Roman" w:eastAsia="Times New Roman" w:hAnsi="Times New Roman"/>
          <w:sz w:val="24"/>
          <w:szCs w:val="24"/>
        </w:rPr>
        <w:t xml:space="preserve">The combination of population-normalized and individual-baseline-adjusted z-scores improves prediction of within-session engagement relative to either component alone (Mosley &amp; Laborde, 2022). The output γ is bounded in (0, 1), with γ ≈ 0.5 representing typical state and γ approaching the boundaries representing extreme low- or high-vagal configurations.</w:t>
      </w:r>
    </w:p>
    <w:p>
      <w:pPr>
        <w:spacing w:after="60" w:before="100" w:line="480"/>
        <w:ind w:firstLine="0"/>
        <w:jc w:val="left"/>
      </w:pPr>
      <w:r>
        <w:rPr>
          <w:rFonts w:ascii="Times New Roman" w:cs="Times New Roman" w:eastAsia="Times New Roman" w:hAnsi="Times New Roman"/>
          <w:b/>
          <w:bCs/>
          <w:i/>
          <w:iCs/>
          <w:sz w:val="24"/>
          <w:szCs w:val="24"/>
        </w:rPr>
        <w:t xml:space="preserve">3.2.2 M2 — Information Gain from Skill Posterior</w:t>
      </w:r>
    </w:p>
    <w:p>
      <w:pPr>
        <w:spacing w:after="0" w:before="0" w:line="480"/>
        <w:ind w:firstLine="720"/>
        <w:jc w:val="both"/>
      </w:pPr>
      <w:r>
        <w:rPr>
          <w:rFonts w:ascii="Times New Roman" w:cs="Times New Roman" w:eastAsia="Times New Roman" w:hAnsi="Times New Roman"/>
          <w:sz w:val="24"/>
          <w:szCs w:val="24"/>
        </w:rPr>
        <w:t xml:space="preserve">M2 computes the expected information gain about the learner’s skill posterior on the axis or axes targeted by candidate task c. For a single-axis task targeting axis a, the computation is:</w:t>
      </w:r>
    </w:p>
    <w:p>
      <w:pPr>
        <w:spacing w:after="60" w:before="60" w:line="280"/>
        <w:ind w:firstLine="0"/>
      </w:pPr>
      <w:r>
        <w:rPr>
          <w:rFonts w:ascii="Courier New" w:cs="Courier New" w:eastAsia="Courier New" w:hAnsi="Courier New"/>
          <w:sz w:val="20"/>
          <w:szCs w:val="20"/>
        </w:rPr>
        <w:t xml:space="preserve">function M2_InfoGain(c, Q_t):</w:t>
      </w:r>
    </w:p>
    <w:p>
      <w:pPr>
        <w:spacing w:after="0" w:before="0" w:line="280"/>
        <w:ind w:firstLine="0"/>
      </w:pPr>
      <w:r>
        <w:rPr>
          <w:rFonts w:ascii="Courier New" w:cs="Courier New" w:eastAsia="Courier New" w:hAnsi="Courier New"/>
          <w:sz w:val="20"/>
          <w:szCs w:val="20"/>
        </w:rPr>
        <w:t xml:space="preserve">    a ← c.target_axis</w:t>
      </w:r>
    </w:p>
    <w:p>
      <w:pPr>
        <w:spacing w:after="0" w:before="0" w:line="280"/>
        <w:ind w:firstLine="0"/>
      </w:pPr>
      <w:r>
        <w:rPr>
          <w:rFonts w:ascii="Courier New" w:cs="Courier New" w:eastAsia="Courier New" w:hAnsi="Courier New"/>
          <w:sz w:val="20"/>
          <w:szCs w:val="20"/>
        </w:rPr>
        <w:t xml:space="preserve">    samples_r ← MonteCarloPredict(Q_t[a], c.difficulty, n=50)</w:t>
      </w:r>
    </w:p>
    <w:p>
      <w:pPr>
        <w:spacing w:after="0" w:before="0" w:line="280"/>
        <w:ind w:firstLine="0"/>
      </w:pPr>
      <w:r>
        <w:rPr>
          <w:rFonts w:ascii="Courier New" w:cs="Courier New" w:eastAsia="Courier New" w:hAnsi="Courier New"/>
          <w:sz w:val="20"/>
          <w:szCs w:val="20"/>
        </w:rPr>
        <w:t xml:space="preserve">    KL_total ← 0</w:t>
      </w:r>
    </w:p>
    <w:p>
      <w:pPr>
        <w:spacing w:after="0" w:before="0" w:line="280"/>
        <w:ind w:firstLine="0"/>
      </w:pPr>
      <w:r>
        <w:rPr>
          <w:rFonts w:ascii="Courier New" w:cs="Courier New" w:eastAsia="Courier New" w:hAnsi="Courier New"/>
          <w:sz w:val="20"/>
          <w:szCs w:val="20"/>
        </w:rPr>
        <w:t xml:space="preserve">    for r in samples_r:</w:t>
      </w:r>
    </w:p>
    <w:p>
      <w:pPr>
        <w:spacing w:after="0" w:before="0" w:line="280"/>
        <w:ind w:firstLine="0"/>
      </w:pPr>
      <w:r>
        <w:rPr>
          <w:rFonts w:ascii="Courier New" w:cs="Courier New" w:eastAsia="Courier New" w:hAnsi="Courier New"/>
          <w:sz w:val="20"/>
          <w:szCs w:val="20"/>
        </w:rPr>
        <w:t xml:space="preserve">        Q_post ← BayesUpdate(Q_t[a], c, r)</w:t>
      </w:r>
    </w:p>
    <w:p>
      <w:pPr>
        <w:spacing w:after="0" w:before="0" w:line="280"/>
        <w:ind w:firstLine="0"/>
      </w:pPr>
      <w:r>
        <w:rPr>
          <w:rFonts w:ascii="Courier New" w:cs="Courier New" w:eastAsia="Courier New" w:hAnsi="Courier New"/>
          <w:sz w:val="20"/>
          <w:szCs w:val="20"/>
        </w:rPr>
        <w:t xml:space="preserve">        KL_total += KL_div(Q_post, Q_t[a])</w:t>
      </w:r>
    </w:p>
    <w:p>
      <w:pPr>
        <w:spacing w:after="240" w:before="0" w:line="280"/>
        <w:ind w:firstLine="0"/>
      </w:pPr>
      <w:r>
        <w:rPr>
          <w:rFonts w:ascii="Courier New" w:cs="Courier New" w:eastAsia="Courier New" w:hAnsi="Courier New"/>
          <w:sz w:val="20"/>
          <w:szCs w:val="20"/>
        </w:rPr>
        <w:t xml:space="preserve">    return KL_total / len(samples_r)</w:t>
      </w:r>
    </w:p>
    <w:p>
      <w:pPr>
        <w:spacing w:after="0" w:before="0" w:line="480"/>
        <w:ind w:firstLine="720"/>
        <w:jc w:val="both"/>
      </w:pPr>
      <w:r>
        <w:rPr>
          <w:rFonts w:ascii="Times New Roman" w:cs="Times New Roman" w:eastAsia="Times New Roman" w:hAnsi="Times New Roman"/>
          <w:sz w:val="24"/>
          <w:szCs w:val="24"/>
        </w:rPr>
        <w:t xml:space="preserve">Tasks targeting multiple axes (rare but admissible) contribute the sum of per-axis information gains, weighted by axis salience in the goal vector. The Monte Carlo sample size n is fixed at 50, which provides numerically stable estimates of I(c) at acceptable computational cost (mean wall-clock time per task: 1.8 ms on a 2023 MacBook Pro).</w:t>
      </w:r>
    </w:p>
    <w:p>
      <w:pPr>
        <w:spacing w:after="60" w:before="100" w:line="480"/>
        <w:ind w:firstLine="0"/>
        <w:jc w:val="left"/>
      </w:pPr>
      <w:r>
        <w:rPr>
          <w:rFonts w:ascii="Times New Roman" w:cs="Times New Roman" w:eastAsia="Times New Roman" w:hAnsi="Times New Roman"/>
          <w:b/>
          <w:bCs/>
          <w:i/>
          <w:iCs/>
          <w:sz w:val="24"/>
          <w:szCs w:val="24"/>
        </w:rPr>
        <w:t xml:space="preserve">3.2.3 M3 — Pragmatic Value from Goal Alignment</w:t>
      </w:r>
    </w:p>
    <w:p>
      <w:pPr>
        <w:spacing w:after="0" w:before="0" w:line="480"/>
        <w:ind w:firstLine="720"/>
        <w:jc w:val="both"/>
      </w:pPr>
      <w:r>
        <w:rPr>
          <w:rFonts w:ascii="Times New Roman" w:cs="Times New Roman" w:eastAsia="Times New Roman" w:hAnsi="Times New Roman"/>
          <w:sz w:val="24"/>
          <w:szCs w:val="24"/>
        </w:rPr>
        <w:t xml:space="preserve">M3 computes the cosine similarity between the learner’s goal vector and the task’s target vector:</w:t>
      </w:r>
    </w:p>
    <w:p>
      <w:pPr>
        <w:spacing w:after="60" w:before="60" w:line="280"/>
        <w:ind w:firstLine="0"/>
      </w:pPr>
      <w:r>
        <w:rPr>
          <w:rFonts w:ascii="Courier New" w:cs="Courier New" w:eastAsia="Courier New" w:hAnsi="Courier New"/>
          <w:sz w:val="20"/>
          <w:szCs w:val="20"/>
        </w:rPr>
        <w:t xml:space="preserve">function M3_PragmaticValue(c, g_t):</w:t>
      </w:r>
    </w:p>
    <w:p>
      <w:pPr>
        <w:spacing w:after="0" w:before="0" w:line="280"/>
        <w:ind w:firstLine="0"/>
      </w:pPr>
      <w:r>
        <w:rPr>
          <w:rFonts w:ascii="Courier New" w:cs="Courier New" w:eastAsia="Courier New" w:hAnsi="Courier New"/>
          <w:sz w:val="20"/>
          <w:szCs w:val="20"/>
        </w:rPr>
        <w:t xml:space="preserve">    return dot(g_t, c.target_vector) / (norm(g_t) · norm(c.target_vector))</w:t>
      </w:r>
    </w:p>
    <w:p>
      <w:pPr>
        <w:spacing w:after="240" w:before="0" w:line="280"/>
        <w:ind w:firstLine="0"/>
      </w:pPr>
      <w:r>
        <w:rPr>
          <w:rFonts w:ascii="Courier New" w:cs="Courier New" w:eastAsia="Courier New" w:hAnsi="Courier New"/>
          <w:sz w:val="20"/>
          <w:szCs w:val="20"/>
        </w:rPr>
        <w:t xml:space="preserve">    // returns value in [−1, +1]</w:t>
      </w:r>
    </w:p>
    <w:p>
      <w:pPr>
        <w:spacing w:after="0" w:before="0" w:line="480"/>
        <w:ind w:firstLine="720"/>
        <w:jc w:val="both"/>
      </w:pPr>
      <w:r>
        <w:rPr>
          <w:rFonts w:ascii="Times New Roman" w:cs="Times New Roman" w:eastAsia="Times New Roman" w:hAnsi="Times New Roman"/>
          <w:sz w:val="24"/>
          <w:szCs w:val="24"/>
        </w:rPr>
        <w:t xml:space="preserve">The cosine similarity is symmetric and bounded, which simplifies the interpretation of U(c). For tasks whose target vector is orthogonal to the learner’s goal (U ≈ 0), the EFE is determined entirely by information gain; for tasks aligned with the goal (U → 1), the EFE rewards engagement even at lower information gain. Tasks contraindicated for the current goal (U &lt; 0) receive negative pragmatic value and are penalized accordingly, though such candidates are typically already excluded by Step 0.</w:t>
      </w:r>
    </w:p>
    <w:p>
      <w:pPr>
        <w:spacing w:after="60" w:before="100" w:line="480"/>
        <w:ind w:firstLine="0"/>
        <w:jc w:val="left"/>
      </w:pPr>
      <w:r>
        <w:rPr>
          <w:rFonts w:ascii="Times New Roman" w:cs="Times New Roman" w:eastAsia="Times New Roman" w:hAnsi="Times New Roman"/>
          <w:b/>
          <w:bCs/>
          <w:i/>
          <w:iCs/>
          <w:sz w:val="24"/>
          <w:szCs w:val="24"/>
        </w:rPr>
        <w:t xml:space="preserve">3.2.4 M4 — Diversity Adjustment</w:t>
      </w:r>
    </w:p>
    <w:p>
      <w:pPr>
        <w:spacing w:after="0" w:before="0" w:line="480"/>
        <w:ind w:firstLine="720"/>
        <w:jc w:val="both"/>
      </w:pPr>
      <w:r>
        <w:rPr>
          <w:rFonts w:ascii="Times New Roman" w:cs="Times New Roman" w:eastAsia="Times New Roman" w:hAnsi="Times New Roman"/>
          <w:sz w:val="24"/>
          <w:szCs w:val="24"/>
        </w:rPr>
        <w:t xml:space="preserve">A naive argmin over G(c) can produce selection collapse, in which the same small set of tasks is repeatedly chosen because they happen to score well on the current state. M4 introduces a soft diversity penalty based on session history:</w:t>
      </w:r>
    </w:p>
    <w:p>
      <w:pPr>
        <w:spacing w:after="60" w:before="60" w:line="280"/>
        <w:ind w:firstLine="0"/>
      </w:pPr>
      <w:r>
        <w:rPr>
          <w:rFonts w:ascii="Courier New" w:cs="Courier New" w:eastAsia="Courier New" w:hAnsi="Courier New"/>
          <w:sz w:val="20"/>
          <w:szCs w:val="20"/>
        </w:rPr>
        <w:t xml:space="preserve">function M4_DiversityAdjust(G, H):</w:t>
      </w:r>
    </w:p>
    <w:p>
      <w:pPr>
        <w:spacing w:after="0" w:before="0" w:line="280"/>
        <w:ind w:firstLine="0"/>
      </w:pPr>
      <w:r>
        <w:rPr>
          <w:rFonts w:ascii="Courier New" w:cs="Courier New" w:eastAsia="Courier New" w:hAnsi="Courier New"/>
          <w:sz w:val="20"/>
          <w:szCs w:val="20"/>
        </w:rPr>
        <w:t xml:space="preserve">    for each c ∈ G.keys():</w:t>
      </w:r>
    </w:p>
    <w:p>
      <w:pPr>
        <w:spacing w:after="0" w:before="0" w:line="280"/>
        <w:ind w:firstLine="0"/>
      </w:pPr>
      <w:r>
        <w:rPr>
          <w:rFonts w:ascii="Courier New" w:cs="Courier New" w:eastAsia="Courier New" w:hAnsi="Courier New"/>
          <w:sz w:val="20"/>
          <w:szCs w:val="20"/>
        </w:rPr>
        <w:t xml:space="preserve">        recency ← exp(− H.time_since_last(c) / τ)   // τ = 7 days</w:t>
      </w:r>
    </w:p>
    <w:p>
      <w:pPr>
        <w:spacing w:after="0" w:before="0" w:line="280"/>
        <w:ind w:firstLine="0"/>
      </w:pPr>
      <w:r>
        <w:rPr>
          <w:rFonts w:ascii="Courier New" w:cs="Courier New" w:eastAsia="Courier New" w:hAnsi="Courier New"/>
          <w:sz w:val="20"/>
          <w:szCs w:val="20"/>
        </w:rPr>
        <w:t xml:space="preserve">        axis_load ← H.frequency_on(c.target_axis, window=7)</w:t>
      </w:r>
    </w:p>
    <w:p>
      <w:pPr>
        <w:spacing w:after="0" w:before="0" w:line="280"/>
        <w:ind w:firstLine="0"/>
      </w:pPr>
      <w:r>
        <w:rPr>
          <w:rFonts w:ascii="Courier New" w:cs="Courier New" w:eastAsia="Courier New" w:hAnsi="Courier New"/>
          <w:sz w:val="20"/>
          <w:szCs w:val="20"/>
        </w:rPr>
        <w:t xml:space="preserve">        G[c] += λ_r · recency + λ_a · axis_load</w:t>
      </w:r>
    </w:p>
    <w:p>
      <w:pPr>
        <w:spacing w:after="240" w:before="0" w:line="280"/>
        <w:ind w:firstLine="0"/>
      </w:pPr>
      <w:r>
        <w:rPr>
          <w:rFonts w:ascii="Courier New" w:cs="Courier New" w:eastAsia="Courier New" w:hAnsi="Courier New"/>
          <w:sz w:val="20"/>
          <w:szCs w:val="20"/>
        </w:rPr>
        <w:t xml:space="preserve">    return G</w:t>
      </w:r>
    </w:p>
    <w:p>
      <w:pPr>
        <w:spacing w:after="0" w:before="0" w:line="480"/>
        <w:ind w:firstLine="720"/>
        <w:jc w:val="both"/>
      </w:pPr>
      <w:r>
        <w:rPr>
          <w:rFonts w:ascii="Times New Roman" w:cs="Times New Roman" w:eastAsia="Times New Roman" w:hAnsi="Times New Roman"/>
          <w:sz w:val="24"/>
          <w:szCs w:val="24"/>
        </w:rPr>
        <w:t xml:space="preserve">The hyperparameters λ_r and λ_a control the strength of the diversity penalty; we use λ_r = 0.15 and λ_a = 0.10 in our experiments, values selected to maintain top-axis selection while ensuring coverage of all five axes over a 7-day window.</w:t>
      </w:r>
    </w:p>
    <w:p>
      <w:pPr>
        <w:spacing w:after="100" w:before="180" w:line="480"/>
        <w:ind w:firstLine="0"/>
        <w:jc w:val="left"/>
      </w:pPr>
      <w:r>
        <w:rPr>
          <w:rFonts w:ascii="Times New Roman" w:cs="Times New Roman" w:eastAsia="Times New Roman" w:hAnsi="Times New Roman"/>
          <w:b/>
          <w:bCs/>
          <w:sz w:val="24"/>
          <w:szCs w:val="24"/>
        </w:rPr>
        <w:t xml:space="preserve">3.3 Candidate Library Structure</w:t>
      </w:r>
    </w:p>
    <w:p>
      <w:pPr>
        <w:spacing w:after="0" w:before="0" w:line="480"/>
        <w:ind w:firstLine="720"/>
        <w:jc w:val="both"/>
      </w:pPr>
      <w:r>
        <w:rPr>
          <w:rFonts w:ascii="Times New Roman" w:cs="Times New Roman" w:eastAsia="Times New Roman" w:hAnsi="Times New Roman"/>
          <w:sz w:val="24"/>
          <w:szCs w:val="24"/>
        </w:rPr>
        <w:t xml:space="preserve">The candidate library 𝒞 is a finite, pre-curated collection of tasks, each annotated with metadata sufficient to support the scoring operations described above. In our implementation, each task entry includes: a unique identifier; a target-axis vector in ℝ⁵; an expected difficulty profile parameterized as a difficulty rating per axis (a continuous value from L7 to L13); an expected duration (typically 2–8 minutes); a brief description in plain language; a clinician-authored rationale; contraindication flags (e.g., not for active suicidal ideation, not for severe dissociation); and a sample interaction script. The library is curated by clinical staff with reference to evidence-based intervention protocols (e.g., paced breathing for HRV biofeedback, dual n-back for working memory, distress tolerance skills for emotional regulation, time estimation for time awareness, narrative reflection for self-cognition).</w:t>
      </w:r>
    </w:p>
    <w:p>
      <w:pPr>
        <w:spacing w:after="0" w:before="0" w:line="480"/>
        <w:ind w:firstLine="720"/>
        <w:jc w:val="both"/>
      </w:pPr>
      <w:r>
        <w:rPr>
          <w:rFonts w:ascii="Times New Roman" w:cs="Times New Roman" w:eastAsia="Times New Roman" w:hAnsi="Times New Roman"/>
          <w:sz w:val="24"/>
          <w:szCs w:val="24"/>
        </w:rPr>
        <w:t xml:space="preserve">In the experiments reported below, the library contained 150 tasks distributed approximately evenly across the five axes (mean = 30 per axis, range 26–34) and across difficulty levels (10–12 tasks per axis per level). Library size is a hyperparameter rather than a property of the algorithm: smaller libraries reduce decision space at the cost of coverage, larger libraries increase coverage at the cost of curation burden. The O(N) complexity of the algorithm permits libraries of practical size (up to ≈10,000 tasks) without performance concerns.</w:t>
      </w:r>
    </w:p>
    <w:p>
      <w:pPr>
        <w:spacing w:after="100" w:before="180" w:line="480"/>
        <w:ind w:firstLine="0"/>
        <w:jc w:val="left"/>
      </w:pPr>
      <w:r>
        <w:rPr>
          <w:rFonts w:ascii="Times New Roman" w:cs="Times New Roman" w:eastAsia="Times New Roman" w:hAnsi="Times New Roman"/>
          <w:b/>
          <w:bCs/>
          <w:sz w:val="24"/>
          <w:szCs w:val="24"/>
        </w:rPr>
        <w:t xml:space="preserve">3.4 Implementation Notes</w:t>
      </w:r>
    </w:p>
    <w:p>
      <w:pPr>
        <w:spacing w:after="0" w:before="0" w:line="480"/>
        <w:ind w:firstLine="720"/>
        <w:jc w:val="both"/>
      </w:pPr>
      <w:r>
        <w:rPr>
          <w:rFonts w:ascii="Times New Roman" w:cs="Times New Roman" w:eastAsia="Times New Roman" w:hAnsi="Times New Roman"/>
          <w:sz w:val="24"/>
          <w:szCs w:val="24"/>
        </w:rPr>
        <w:t xml:space="preserve">Three implementation considerations deserve mention. First, the Bayesian skill posterior on each axis is represented as a discrete distribution over 7 bins (L7 through L13). This discretization sacrifices some fidelity relative to continuous parameterizations (e.g., Beta or truncated Gaussian) but simplifies Bayesian update, KL divergence, and Monte Carlo prediction substantially, and yields posteriors that are easier to display to clinicians.</w:t>
      </w:r>
    </w:p>
    <w:p>
      <w:pPr>
        <w:spacing w:after="0" w:before="0" w:line="480"/>
        <w:ind w:firstLine="720"/>
        <w:jc w:val="both"/>
      </w:pPr>
      <w:r>
        <w:rPr>
          <w:rFonts w:ascii="Times New Roman" w:cs="Times New Roman" w:eastAsia="Times New Roman" w:hAnsi="Times New Roman"/>
          <w:sz w:val="24"/>
          <w:szCs w:val="24"/>
        </w:rPr>
        <w:t xml:space="preserve">Second, the Monte Carlo expectation in M2 requires a predictive model of the learner’s response under a candidate task given the current skill posterior. We adopt a parametric response model in which the probability of a correct/engaged response is a logistic function of the difference between the learner’s sampled skill level and the task’s difficulty, with subject-specific scale and offset parameters initialized from population norms and updated online from session history. Alternative response models (item-response theory parameterizations, hierarchical Bayesian models) would be equally compatible with the framework.</w:t>
      </w:r>
    </w:p>
    <w:p>
      <w:pPr>
        <w:spacing w:after="0" w:before="0" w:line="480"/>
        <w:ind w:firstLine="720"/>
        <w:jc w:val="both"/>
      </w:pPr>
      <w:r>
        <w:rPr>
          <w:rFonts w:ascii="Times New Roman" w:cs="Times New Roman" w:eastAsia="Times New Roman" w:hAnsi="Times New Roman"/>
          <w:sz w:val="24"/>
          <w:szCs w:val="24"/>
        </w:rPr>
        <w:t xml:space="preserve">Third, the precision parameter γ is smoothed across short windows (60–120 s of RR intervals) to avoid spurious decisions driven by single-beat fluctuations. We use an exponentially weighted moving average with a half-life of 60 s, which has been shown to provide stable γ estimates for clinical applications (Laborde et al., 2017; Quintana &amp; Heathers, 2014; Park et al., 2024).</w:t>
      </w:r>
    </w:p>
    <w:p>
      <w:pPr>
        <w:spacing w:after="100" w:before="180" w:line="480"/>
        <w:ind w:firstLine="0"/>
        <w:jc w:val="left"/>
      </w:pPr>
      <w:r>
        <w:rPr>
          <w:rFonts w:ascii="Times New Roman" w:cs="Times New Roman" w:eastAsia="Times New Roman" w:hAnsi="Times New Roman"/>
          <w:b/>
          <w:bCs/>
          <w:sz w:val="24"/>
          <w:szCs w:val="24"/>
        </w:rPr>
        <w:t xml:space="preserve">3.5 Step 0 Safety Filter</w:t>
      </w:r>
    </w:p>
    <w:p>
      <w:pPr>
        <w:spacing w:after="0" w:before="0" w:line="480"/>
        <w:ind w:firstLine="720"/>
        <w:jc w:val="both"/>
      </w:pPr>
      <w:r>
        <w:rPr>
          <w:rFonts w:ascii="Times New Roman" w:cs="Times New Roman" w:eastAsia="Times New Roman" w:hAnsi="Times New Roman"/>
          <w:sz w:val="24"/>
          <w:szCs w:val="24"/>
        </w:rPr>
        <w:t xml:space="preserve">Step 0 precedes EFE scoring and removes from consideration any candidate task that meets a hard contraindication. Step 0 is implemented as a rule-based filter parameterized by clinician-set policies. Representative rules include: (a) if the learner’s current γ falls below a safety threshold (e.g., RMSSD &lt; 15 ms or self-reported crisis indicator), restrict 𝒞 to a designated regulation sub-library (paced breathing, grounding, somatic anchoring) and bypass the developmental selector; (b) if the learner’s session history shows two consecutive task refusals, restrict 𝒞 to tasks of lower difficulty within the most pragmatically aligned axis; (c) if the learner has flagged active suicidal ideation in the intake form, exclude all tasks marked contraindicated-for-active-SI and route to crisis protocols outside the selector’s scope. Step 0 is not part of the EFE computation itself; it is a safety envelope that surrounds the selector and reflects clinical judgment about the boundary of admissible recommendations.</w:t>
      </w:r>
    </w:p>
    <w:p>
      <w:r>
        <w:br w:type="page"/>
      </w:r>
    </w:p>
    <w:p>
      <w:pPr>
        <w:spacing w:after="60" w:before="60"/>
        <w:jc w:val="center"/>
      </w:pPr>
      <w:r>
        <w:drawing>
          <wp:inline distT="0" distB="0" distL="0" distR="0">
            <wp:extent cx="5760720" cy="406677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60720" cy="4066778"/>
                    </a:xfrm>
                    <a:prstGeom prst="rect">
                      <a:avLst/>
                    </a:prstGeom>
                  </pic:spPr>
                </pic:pic>
              </a:graphicData>
            </a:graphic>
          </wp:inline>
        </w:drawing>
      </w:r>
    </w:p>
    <w:p>
      <w:pPr>
        <w:spacing w:after="60" w:before="180" w:line="360"/>
        <w:ind w:firstLine="0"/>
      </w:pPr>
      <w:r>
        <w:rPr>
          <w:rFonts w:ascii="Times New Roman" w:cs="Times New Roman" w:eastAsia="Times New Roman" w:hAnsi="Times New Roman"/>
          <w:b/>
          <w:bCs/>
          <w:sz w:val="24"/>
          <w:szCs w:val="24"/>
        </w:rPr>
        <w:t xml:space="preserve">Figure 2</w:t>
      </w:r>
    </w:p>
    <w:p>
      <w:pPr>
        <w:spacing w:after="60" w:before="0" w:line="360"/>
        <w:ind w:firstLine="0"/>
      </w:pPr>
      <w:r>
        <w:rPr>
          <w:rFonts w:ascii="Times New Roman" w:cs="Times New Roman" w:eastAsia="Times New Roman" w:hAnsi="Times New Roman"/>
          <w:i/>
          <w:iCs/>
          <w:sz w:val="24"/>
          <w:szCs w:val="24"/>
        </w:rPr>
        <w:t xml:space="preserve">Next-task selector algorithm flow.</w:t>
      </w:r>
    </w:p>
    <w:p>
      <w:pPr>
        <w:spacing w:after="240" w:before="6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Inputs (top row): physiological state (HRV), Fischer-level posterior on five axes, learner goal vector, candidate library, and Step 0 safety filter. Sub-modules M1–M4 produce the precision γ, information gain I, pragmatic value U, and post-filter pool, respectively. The combined G(card) is minimized to produce the recommended next task. The full algorithm is O(N) in library size.</w:t>
      </w:r>
    </w:p>
    <w:p>
      <w:r>
        <w:br w:type="page"/>
      </w:r>
    </w:p>
    <w:p>
      <w:pPr>
        <w:spacing w:after="60" w:before="240" w:line="360"/>
        <w:ind w:firstLine="0"/>
      </w:pPr>
      <w:r>
        <w:rPr>
          <w:rFonts w:ascii="Times New Roman" w:cs="Times New Roman" w:eastAsia="Times New Roman" w:hAnsi="Times New Roman"/>
          <w:b/>
          <w:bCs/>
          <w:sz w:val="24"/>
          <w:szCs w:val="24"/>
        </w:rPr>
        <w:t xml:space="preserve">Table 2</w:t>
      </w:r>
    </w:p>
    <w:p>
      <w:pPr>
        <w:spacing w:after="120" w:before="0" w:line="360"/>
        <w:ind w:firstLine="0"/>
      </w:pPr>
      <w:r>
        <w:rPr>
          <w:rFonts w:ascii="Times New Roman" w:cs="Times New Roman" w:eastAsia="Times New Roman" w:hAnsi="Times New Roman"/>
          <w:i/>
          <w:iCs/>
          <w:sz w:val="24"/>
          <w:szCs w:val="24"/>
        </w:rPr>
        <w:t xml:space="preserve">Next-Task Selector Algorithm Specification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400"/>
        <w:gridCol w:w="2760"/>
      </w:tblGrid>
      <w:tr>
        <w:trPr>
          <w:tblHeader/>
        </w:trPr>
        <w:tc>
          <w:tcPr>
            <w:tcW w:type="dxa" w:w="18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Component</w:t>
            </w:r>
          </w:p>
        </w:tc>
        <w:tc>
          <w:tcPr>
            <w:tcW w:type="dxa" w:w="24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Input</w:t>
            </w:r>
          </w:p>
        </w:tc>
        <w:tc>
          <w:tcPr>
            <w:tcW w:type="dxa" w:w="24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Output</w:t>
            </w:r>
          </w:p>
        </w:tc>
        <w:tc>
          <w:tcPr>
            <w:tcW w:type="dxa" w:w="276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Complexity / Notes</w:t>
            </w:r>
          </w:p>
        </w:tc>
      </w:tr>
      <w:tr>
        <w:tc>
          <w:tcPr>
            <w:tcW w:type="dxa" w:w="18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Step 0 Filter</w:t>
            </w:r>
          </w:p>
        </w:tc>
        <w:tc>
          <w:tcPr>
            <w:tcW w:type="dxa" w:w="24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Candidate library 𝒞; state S_t; history H</w:t>
            </w:r>
          </w:p>
        </w:tc>
        <w:tc>
          <w:tcPr>
            <w:tcW w:type="dxa" w:w="24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Filtered library 𝒞′ ⊆ 𝒞</w:t>
            </w:r>
          </w:p>
        </w:tc>
        <w:tc>
          <w:tcPr>
            <w:tcW w:type="dxa" w:w="276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O(N); clinician-set rules</w:t>
            </w:r>
          </w:p>
        </w:tc>
      </w:tr>
      <w:tr>
        <w:tc>
          <w:tcPr>
            <w:tcW w:type="dxa" w:w="18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M1 — Precision</w:t>
            </w:r>
          </w:p>
        </w:tc>
        <w:tc>
          <w:tcPr>
            <w:tcW w:type="dxa" w:w="24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S_t (HRV: RMSSD, baseline, age/sex norms)</w:t>
            </w:r>
          </w:p>
        </w:tc>
        <w:tc>
          <w:tcPr>
            <w:tcW w:type="dxa" w:w="24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γ ∈ (0, 1)</w:t>
            </w:r>
          </w:p>
        </w:tc>
        <w:tc>
          <w:tcPr>
            <w:tcW w:type="dxa" w:w="276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O(1); sigmoid of standardized RMSSD</w:t>
            </w:r>
          </w:p>
        </w:tc>
      </w:tr>
      <w:tr>
        <w:tc>
          <w:tcPr>
            <w:tcW w:type="dxa" w:w="18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M2 — Information Gain</w:t>
            </w:r>
          </w:p>
        </w:tc>
        <w:tc>
          <w:tcPr>
            <w:tcW w:type="dxa" w:w="24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Skill posterior Q_t; candidate c</w:t>
            </w:r>
          </w:p>
        </w:tc>
        <w:tc>
          <w:tcPr>
            <w:tcW w:type="dxa" w:w="24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I(c) ≥ 0</w:t>
            </w:r>
          </w:p>
        </w:tc>
        <w:tc>
          <w:tcPr>
            <w:tcW w:type="dxa" w:w="276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O(K · M) per task; K = MC samples, M = bins</w:t>
            </w:r>
          </w:p>
        </w:tc>
      </w:tr>
      <w:tr>
        <w:tc>
          <w:tcPr>
            <w:tcW w:type="dxa" w:w="18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M3 — Pragmatic Value</w:t>
            </w:r>
          </w:p>
        </w:tc>
        <w:tc>
          <w:tcPr>
            <w:tcW w:type="dxa" w:w="24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Goal vector g_t; candidate target t_c</w:t>
            </w:r>
          </w:p>
        </w:tc>
        <w:tc>
          <w:tcPr>
            <w:tcW w:type="dxa" w:w="24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U(c) ∈ [−1, +1]</w:t>
            </w:r>
          </w:p>
        </w:tc>
        <w:tc>
          <w:tcPr>
            <w:tcW w:type="dxa" w:w="276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O(k); cosine similarity</w:t>
            </w:r>
          </w:p>
        </w:tc>
      </w:tr>
      <w:tr>
        <w:tc>
          <w:tcPr>
            <w:tcW w:type="dxa" w:w="18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M4 — G Minimizer</w:t>
            </w:r>
          </w:p>
        </w:tc>
        <w:tc>
          <w:tcPr>
            <w:tcW w:type="dxa" w:w="24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γ, I(c), U(c) for c ∈ 𝒞′; history H</w:t>
            </w:r>
          </w:p>
        </w:tc>
        <w:tc>
          <w:tcPr>
            <w:tcW w:type="dxa" w:w="24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c* ∈ 𝒞′; decision log</w:t>
            </w:r>
          </w:p>
        </w:tc>
        <w:tc>
          <w:tcPr>
            <w:tcW w:type="dxa" w:w="276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O(N); argmin over G_adj with diversity penalty</w:t>
            </w:r>
          </w:p>
        </w:tc>
      </w:tr>
      <w:tr>
        <w:tc>
          <w:tcPr>
            <w:tcW w:type="dxa" w:w="18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Selector total</w:t>
            </w:r>
          </w:p>
        </w:tc>
        <w:tc>
          <w:tcPr>
            <w:tcW w:type="dxa" w:w="24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All of the above</w:t>
            </w:r>
          </w:p>
        </w:tc>
        <w:tc>
          <w:tcPr>
            <w:tcW w:type="dxa" w:w="24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(c*, log)</w:t>
            </w:r>
          </w:p>
        </w:tc>
        <w:tc>
          <w:tcPr>
            <w:tcW w:type="dxa" w:w="276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O(N · K); ~1.8 ms/task on 2023 MacBook Pro</w:t>
            </w:r>
          </w:p>
        </w:tc>
      </w:tr>
    </w:tbl>
    <w:p>
      <w:pPr>
        <w:spacing w:after="240" w:before="10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M1–M4 are the four sub-modules of the selector. K = Monte Carlo sample size; M = number of bins in the skill posterior; N = library size; k = goal-vector dimensionality (5 in our implementation). The total selector runs in linear time in library size.</w:t>
      </w:r>
    </w:p>
    <w:p>
      <w:r>
        <w:br w:type="page"/>
      </w:r>
    </w:p>
    <w:p>
      <w:pPr>
        <w:spacing w:after="120" w:before="240" w:line="480"/>
        <w:ind w:firstLine="0"/>
        <w:jc w:val="center"/>
      </w:pPr>
      <w:r>
        <w:rPr>
          <w:rFonts w:ascii="Times New Roman" w:cs="Times New Roman" w:eastAsia="Times New Roman" w:hAnsi="Times New Roman"/>
          <w:b/>
          <w:bCs/>
          <w:sz w:val="26"/>
          <w:szCs w:val="26"/>
        </w:rPr>
        <w:t xml:space="preserve">4. In Silico Validation: Method</w:t>
      </w:r>
    </w:p>
    <w:p>
      <w:pPr>
        <w:spacing w:after="0" w:before="0" w:line="480"/>
        <w:ind w:firstLine="720"/>
        <w:jc w:val="both"/>
      </w:pPr>
      <w:r>
        <w:rPr>
          <w:rFonts w:ascii="Times New Roman" w:cs="Times New Roman" w:eastAsia="Times New Roman" w:hAnsi="Times New Roman"/>
          <w:sz w:val="24"/>
          <w:szCs w:val="24"/>
        </w:rPr>
        <w:t xml:space="preserve">We evaluate the EFE next-task selector in silico on a synthetic cohort of 1,000 learners. The purpose of the in silico evaluation is to generate falsifiable predictions about the algorithm’s behavior that can subsequently be tested against empirical data from the prospective phases of the validation roadmap (Section 6.4). In silico validation is not a substitute for empirical validation; it is a controlled environment in which the algorithm’s computational properties, sensitivity to assumption violations, and comparative performance against baselines can be characterized prior to enrollment of human participants. This use of synthetic data follows precedents in computational psychiatry (Stephan et al., 2017), in silico clinical trials (Pappalardo et al., 2019), and computational neuroscience (Jirsa et al., 2017; Sanz Leon et al., 2013).</w:t>
      </w:r>
    </w:p>
    <w:p>
      <w:pPr>
        <w:spacing w:after="100" w:before="180" w:line="480"/>
        <w:ind w:firstLine="0"/>
        <w:jc w:val="left"/>
      </w:pPr>
      <w:r>
        <w:rPr>
          <w:rFonts w:ascii="Times New Roman" w:cs="Times New Roman" w:eastAsia="Times New Roman" w:hAnsi="Times New Roman"/>
          <w:b/>
          <w:bCs/>
          <w:sz w:val="24"/>
          <w:szCs w:val="24"/>
        </w:rPr>
        <w:t xml:space="preserve">4.1 Synthetic Cohort Generation</w:t>
      </w:r>
    </w:p>
    <w:p>
      <w:pPr>
        <w:spacing w:after="0" w:before="0" w:line="480"/>
        <w:ind w:firstLine="720"/>
        <w:jc w:val="both"/>
      </w:pPr>
      <w:r>
        <w:rPr>
          <w:rFonts w:ascii="Times New Roman" w:cs="Times New Roman" w:eastAsia="Times New Roman" w:hAnsi="Times New Roman"/>
          <w:sz w:val="24"/>
          <w:szCs w:val="24"/>
        </w:rPr>
        <w:t xml:space="preserve">The synthetic cohort consists of N = 1,000 simulated adult learners, stratified into four subgroups: young adults (age 18–30, N = 250), middle-aged adults (age 31–45, N = 350), mature adults (age 46–65, N = 300), and a clinical subgroup with elevated regulation difficulty across ages (N = 100). Each simulated learner is characterized by a fixed set of latent parameters: a true Fischer level on each of the five skill axes (sampled from age-conditioned distributions with means 8.5 ± 1.0 for young, 10.0 ± 1.0 for middle-aged, 11.0 ± 1.0 for mature, and 8.5 ± 1.2 for clinical, with cross-axis correlations of r = 0.35 to reflect partial generality of skill development); a baseline RMSSD value (sampled from age-conditioned norms: μ = 55 ms for young, 42 ms for middle-aged, 32 ms for mature, 25 ms for clinical, with σ = 10 ms in each subgroup, consistent with population-level HRV norms reported by Nunan et al., 2010, and Shaffer &amp; Ginsberg, 2017); a goal vector g over the five-dimensional goal space (sampled from a Dirichlet distribution with concentration parameter tuned to produce realistic profiles of mixed and focused goal patterns); and a set of nuisance parameters governing response noise, fatigue, and within-session variability.</w:t>
      </w:r>
    </w:p>
    <w:p>
      <w:pPr>
        <w:spacing w:after="0" w:before="0" w:line="480"/>
        <w:ind w:firstLine="720"/>
        <w:jc w:val="both"/>
      </w:pPr>
      <w:r>
        <w:rPr>
          <w:rFonts w:ascii="Times New Roman" w:cs="Times New Roman" w:eastAsia="Times New Roman" w:hAnsi="Times New Roman"/>
          <w:sz w:val="24"/>
          <w:szCs w:val="24"/>
        </w:rPr>
        <w:t xml:space="preserve">Generative-model parameters were calibrated against published norms where available (HRV: Shaffer &amp; Ginsberg, 2017; Fischer levels in adult clinical populations: Mascolo &amp; Fischer, 2015; engagement curves: Bjork &amp; Bjork, 2011). For parameters without direct empirical anchors, we use the most parsimonious distributions consistent with the requirement that synthetic learners exhibit qualitative properties documented in the human learning literature (variance across axes within learner, partial cross-axis correlation, age-related shifts in baseline HRV). The synthetic generation code is provided in the supplementary materials and is fully reproducible from a seed value.</w:t>
      </w:r>
    </w:p>
    <w:p>
      <w:pPr>
        <w:spacing w:after="0" w:before="0" w:line="480"/>
        <w:ind w:firstLine="720"/>
        <w:jc w:val="both"/>
      </w:pPr>
      <w:r>
        <w:rPr>
          <w:rFonts w:ascii="Times New Roman" w:cs="Times New Roman" w:eastAsia="Times New Roman" w:hAnsi="Times New Roman"/>
          <w:sz w:val="24"/>
          <w:szCs w:val="24"/>
        </w:rPr>
        <w:t xml:space="preserve">Each synthetic learner is then simulated through 28 days of interaction with the system, during which the system selects up to three tasks per day (mean = 2.1 tasks/day across the cohort, reflecting realistic engagement patterns from the analogous human literature; Tinto, 2017). At each selection event, the system’s candidate library (size 150, fixed across the cohort) is filtered by Step 0 and scored by the EFE selector or by one of three baselines (Section 4.3). The selected task is delivered, and the synthetic learner generates a response (engagement decision, performance score, emotion rating) drawn from a parameterized response model conditioned on the learner’s latent skill level, the task’s difficulty, the current within-day fluctuation in γ, and the previously completed tasks. Responses then update the system’s estimate of the learner’s skill posterior (Bayesian update) and accumulate into the engagement and learning-rate outcome measures.</w:t>
      </w:r>
    </w:p>
    <w:p>
      <w:pPr>
        <w:spacing w:after="100" w:before="180" w:line="480"/>
        <w:ind w:firstLine="0"/>
        <w:jc w:val="left"/>
      </w:pPr>
      <w:r>
        <w:rPr>
          <w:rFonts w:ascii="Times New Roman" w:cs="Times New Roman" w:eastAsia="Times New Roman" w:hAnsi="Times New Roman"/>
          <w:b/>
          <w:bCs/>
          <w:sz w:val="24"/>
          <w:szCs w:val="24"/>
        </w:rPr>
        <w:t xml:space="preserve">4.2 Pre-Specified Hypotheses</w:t>
      </w:r>
    </w:p>
    <w:p>
      <w:pPr>
        <w:spacing w:after="0" w:before="0" w:line="480"/>
        <w:ind w:firstLine="720"/>
        <w:jc w:val="both"/>
      </w:pPr>
      <w:r>
        <w:rPr>
          <w:rFonts w:ascii="Times New Roman" w:cs="Times New Roman" w:eastAsia="Times New Roman" w:hAnsi="Times New Roman"/>
          <w:sz w:val="24"/>
          <w:szCs w:val="24"/>
        </w:rPr>
        <w:t xml:space="preserve">Four hypotheses were pre-specified prior to running the experiments. Each hypothesis makes a directional, falsifiable prediction about the algorithm’s behavior.</w:t>
      </w:r>
    </w:p>
    <w:p>
      <w:pPr>
        <w:spacing w:after="0" w:before="0" w:line="480"/>
        <w:ind w:firstLine="720"/>
        <w:jc w:val="both"/>
      </w:pPr>
      <w:r>
        <w:rPr>
          <w:rFonts w:ascii="Times New Roman" w:cs="Times New Roman" w:eastAsia="Times New Roman" w:hAnsi="Times New Roman"/>
          <w:sz w:val="24"/>
          <w:szCs w:val="24"/>
        </w:rPr>
        <w:t xml:space="preserve">H1 (Precision–engagement coupling): Engagement probability—defined as the probability that the simulated learner accepts and completes a delivered task—will be predicted by the precision parameter γ at the time of delivery, with an AUC ≥ 0.80 for the binary classification of engagement from γ alone. The hypothesis is grounded in the polyvagal-precision mapping (Porges, 2007; Allen et al., 2022): low γ corresponds to autonomic configurations in which complex tasks are not behaviorally accessible, and the selector should reflect this by adjusting its selection to favor lower-load tasks under low γ.</w:t>
      </w:r>
    </w:p>
    <w:p>
      <w:pPr>
        <w:spacing w:after="0" w:before="0" w:line="480"/>
        <w:ind w:firstLine="720"/>
        <w:jc w:val="both"/>
      </w:pPr>
      <w:r>
        <w:rPr>
          <w:rFonts w:ascii="Times New Roman" w:cs="Times New Roman" w:eastAsia="Times New Roman" w:hAnsi="Times New Roman"/>
          <w:sz w:val="24"/>
          <w:szCs w:val="24"/>
        </w:rPr>
        <w:t xml:space="preserve">H2 (Inverted-U learning curve over information gain): When tasks are ranked by their information-gain values I(c), the resulting learning rate (mean Fischer level change per 4-week interval, averaged across the cohort) will show an inverted-U shape, with peak learning at I ≈ 1.0 nats and lower learning at both lower (under-challenge) and higher (over-challenge) information-gain values. The hypothesis instantiates the formal version of the zone of proximal development as expected information gain (Vygotsky, 1978; Bjork &amp; Bjork, 2011; Sweller et al., 2019).</w:t>
      </w:r>
    </w:p>
    <w:p>
      <w:pPr>
        <w:spacing w:after="0" w:before="0" w:line="480"/>
        <w:ind w:firstLine="720"/>
        <w:jc w:val="both"/>
      </w:pPr>
      <w:r>
        <w:rPr>
          <w:rFonts w:ascii="Times New Roman" w:cs="Times New Roman" w:eastAsia="Times New Roman" w:hAnsi="Times New Roman"/>
          <w:sz w:val="24"/>
          <w:szCs w:val="24"/>
        </w:rPr>
        <w:t xml:space="preserve">H3 (Stage-dependent decomposition): The relative contribution of pragmatic value U versus information gain I in the selector’s decisions will shift systematically with the learner’s mean Fischer level. At lower levels (L7–L8), U will dominate (mean share of |γ·U| / [|γ·U| + |γ·I|] ≥ 0.65); at higher levels (L12–L13), I will dominate (mean share of |γ·I| / [|γ·U| + |γ·I|] ≥ 0.65). The hypothesis follows from the developmental account (Mascolo &amp; Fischer, 2015; Pezzulo et al., 2018): early in development, action selection benefits more from concrete goal alignment because abstract self-monitoring of learning gain is less reliable; later in development, the selector can prioritize informationally dense tasks because the learner’s metacognitive capacity supports their absorption.</w:t>
      </w:r>
    </w:p>
    <w:p>
      <w:pPr>
        <w:spacing w:after="0" w:before="0" w:line="480"/>
        <w:ind w:firstLine="720"/>
        <w:jc w:val="both"/>
      </w:pPr>
      <w:r>
        <w:rPr>
          <w:rFonts w:ascii="Times New Roman" w:cs="Times New Roman" w:eastAsia="Times New Roman" w:hAnsi="Times New Roman"/>
          <w:sz w:val="24"/>
          <w:szCs w:val="24"/>
        </w:rPr>
        <w:t xml:space="preserve">H4 (Comparative performance): The EFE selector will outperform three baseline algorithms—difficulty-only (selects the task whose difficulty is closest to the learner’s current Fischer level estimate), random (uniform sampling from the filtered library), and symptom-only (selects the task targeting the axis with the largest deviation from a normative profile)—on two primary outcomes: engagement AUC (probability of acceptance) and learning AUC (probability that the next-day Fischer posterior on the targeted axis shifts upward). Specifically, EFE engagement AUC ≥ best baseline engagement AUC + 0.10, and EFE learning AUC ≥ best baseline learning AUC + 0.10. The hypothesis is the principal test of whether EFE-based decomposition provides incremental value beyond difficulty-matching, which is the dominant adaptive-learning baseline in the field (van der Linden &amp; Glas, 2010; Pelánek, 2017).</w:t>
      </w:r>
    </w:p>
    <w:p>
      <w:pPr>
        <w:spacing w:after="100" w:before="180" w:line="480"/>
        <w:ind w:firstLine="0"/>
        <w:jc w:val="left"/>
      </w:pPr>
      <w:r>
        <w:rPr>
          <w:rFonts w:ascii="Times New Roman" w:cs="Times New Roman" w:eastAsia="Times New Roman" w:hAnsi="Times New Roman"/>
          <w:b/>
          <w:bCs/>
          <w:sz w:val="24"/>
          <w:szCs w:val="24"/>
        </w:rPr>
        <w:t xml:space="preserve">4.3 Baseline Algorithms</w:t>
      </w:r>
    </w:p>
    <w:p>
      <w:pPr>
        <w:spacing w:after="0" w:before="0" w:line="480"/>
        <w:ind w:firstLine="720"/>
        <w:jc w:val="both"/>
      </w:pPr>
      <w:r>
        <w:rPr>
          <w:rFonts w:ascii="Times New Roman" w:cs="Times New Roman" w:eastAsia="Times New Roman" w:hAnsi="Times New Roman"/>
          <w:sz w:val="24"/>
          <w:szCs w:val="24"/>
        </w:rPr>
        <w:t xml:space="preserve">The three baseline algorithms are implemented as ablations or simplifications of the EFE selector that preserve the candidate library, Step 0 filter, and diversity adjustment but replace the scoring rule.</w:t>
      </w:r>
    </w:p>
    <w:p>
      <w:pPr>
        <w:spacing w:after="0" w:before="0" w:line="480"/>
        <w:ind w:firstLine="720"/>
        <w:jc w:val="both"/>
      </w:pPr>
      <w:r>
        <w:rPr>
          <w:rFonts w:ascii="Times New Roman" w:cs="Times New Roman" w:eastAsia="Times New Roman" w:hAnsi="Times New Roman"/>
          <w:sz w:val="24"/>
          <w:szCs w:val="24"/>
        </w:rPr>
        <w:t xml:space="preserve">The difficulty-only baseline computes, for each candidate c, the absolute difference between c.difficulty (on the target axis) and the maximum a posteriori Fischer level on that axis, and selects the task minimizing this distance. It is informed by Fischer level but ignores HRV, goal vector, and information gain. This baseline represents the state of the art in classical adaptive testing (van der Linden &amp; Glas, 2010) and is the strongest non-trivial comparison.</w:t>
      </w:r>
    </w:p>
    <w:p>
      <w:pPr>
        <w:spacing w:after="0" w:before="0" w:line="480"/>
        <w:ind w:firstLine="720"/>
        <w:jc w:val="both"/>
      </w:pPr>
      <w:r>
        <w:rPr>
          <w:rFonts w:ascii="Times New Roman" w:cs="Times New Roman" w:eastAsia="Times New Roman" w:hAnsi="Times New Roman"/>
          <w:sz w:val="24"/>
          <w:szCs w:val="24"/>
        </w:rPr>
        <w:t xml:space="preserve">The random baseline samples uniformly from the post-Step-0 candidate library. Although obviously naive, it provides a floor against which to measure how much variance in outcomes is attributable to the selection rule versus the structure of the library and the response model. We expect random selection to perform at chance on both outcomes (AUC ≈ 0.50).</w:t>
      </w:r>
    </w:p>
    <w:p>
      <w:pPr>
        <w:spacing w:after="0" w:before="0" w:line="480"/>
        <w:ind w:firstLine="720"/>
        <w:jc w:val="both"/>
      </w:pPr>
      <w:r>
        <w:rPr>
          <w:rFonts w:ascii="Times New Roman" w:cs="Times New Roman" w:eastAsia="Times New Roman" w:hAnsi="Times New Roman"/>
          <w:sz w:val="24"/>
          <w:szCs w:val="24"/>
        </w:rPr>
        <w:t xml:space="preserve">The symptom-only baseline computes, for each axis, the deviation from a normative profile (e.g., RMSSD relative to age norms, attention measures relative to clinical thresholds), identifies the axis with the largest deviation, and selects the task targeting that axis with the closest match to current Fischer level. It represents the dominant approach in clinical decision support systems, in which interventions are matched to identified symptom clusters rather than to the learner’s developmental trajectory (Cuthbert &amp; Insel, 2013; Conway et al., 2019). This baseline captures one valuable signal (where the learner has the most clinical need) but ignores the integration of state, goal, and developmental information that EFE provides.</w:t>
      </w:r>
    </w:p>
    <w:p>
      <w:pPr>
        <w:spacing w:after="100" w:before="180" w:line="480"/>
        <w:ind w:firstLine="0"/>
        <w:jc w:val="left"/>
      </w:pPr>
      <w:r>
        <w:rPr>
          <w:rFonts w:ascii="Times New Roman" w:cs="Times New Roman" w:eastAsia="Times New Roman" w:hAnsi="Times New Roman"/>
          <w:b/>
          <w:bCs/>
          <w:sz w:val="24"/>
          <w:szCs w:val="24"/>
        </w:rPr>
        <w:t xml:space="preserve">4.4 Outcome Measures</w:t>
      </w:r>
    </w:p>
    <w:p>
      <w:pPr>
        <w:spacing w:after="0" w:before="0" w:line="480"/>
        <w:ind w:firstLine="720"/>
        <w:jc w:val="both"/>
      </w:pPr>
      <w:r>
        <w:rPr>
          <w:rFonts w:ascii="Times New Roman" w:cs="Times New Roman" w:eastAsia="Times New Roman" w:hAnsi="Times New Roman"/>
          <w:sz w:val="24"/>
          <w:szCs w:val="24"/>
        </w:rPr>
        <w:t xml:space="preserve">Two primary outcome measures are defined. Engagement AUC is the area under the ROC curve for classifying delivered tasks as engaged (accepted and completed) versus disengaged (declined, abandoned, or completed without measurable learning), using the algorithm’s output (G value, difficulty distance, or normative deviation) as the discriminating variable. Learning AUC is defined analogously for the binary outcome of next-day positive shift in the Fischer posterior on the targeted axis.</w:t>
      </w:r>
    </w:p>
    <w:p>
      <w:pPr>
        <w:spacing w:after="0" w:before="0" w:line="480"/>
        <w:ind w:firstLine="720"/>
        <w:jc w:val="both"/>
      </w:pPr>
      <w:r>
        <w:rPr>
          <w:rFonts w:ascii="Times New Roman" w:cs="Times New Roman" w:eastAsia="Times New Roman" w:hAnsi="Times New Roman"/>
          <w:sz w:val="24"/>
          <w:szCs w:val="24"/>
        </w:rPr>
        <w:t xml:space="preserve">Three secondary outcomes are also reported. Mean learning rate is the average change in Fischer level per 4-week interval across the simulated 28-day window. Selector diversity is the mean number of distinct axes covered by the selector’s recommendations over a 7-day window. Cumulative regret is the difference between the expected outcome under the selector’s actual recommendations and the expected outcome under the omniscient optimal task at each step (a quantity computable in the synthetic setting because the latent parameters are known to the simulator but not to the selector).</w:t>
      </w:r>
    </w:p>
    <w:p>
      <w:pPr>
        <w:spacing w:after="0" w:before="0" w:line="480"/>
        <w:ind w:firstLine="720"/>
        <w:jc w:val="both"/>
      </w:pPr>
      <w:r>
        <w:rPr>
          <w:rFonts w:ascii="Times New Roman" w:cs="Times New Roman" w:eastAsia="Times New Roman" w:hAnsi="Times New Roman"/>
          <w:sz w:val="24"/>
          <w:szCs w:val="24"/>
        </w:rPr>
        <w:t xml:space="preserve">All outcomes are reported with bootstrap 95% confidence intervals (10,000 resamples) and, where appropriate, with pairwise tests against baselines using Mann–Whitney U with Bonferroni correction for the four pairwise comparisons (EFE vs. each of three baselines, on each of two primary outcomes).</w:t>
      </w:r>
    </w:p>
    <w:p>
      <w:pPr>
        <w:spacing w:after="100" w:before="180" w:line="480"/>
        <w:ind w:firstLine="0"/>
        <w:jc w:val="left"/>
      </w:pPr>
      <w:r>
        <w:rPr>
          <w:rFonts w:ascii="Times New Roman" w:cs="Times New Roman" w:eastAsia="Times New Roman" w:hAnsi="Times New Roman"/>
          <w:b/>
          <w:bCs/>
          <w:sz w:val="24"/>
          <w:szCs w:val="24"/>
        </w:rPr>
        <w:t xml:space="preserve">4.5 Pre-Registration and Reproducibility</w:t>
      </w:r>
    </w:p>
    <w:p>
      <w:pPr>
        <w:spacing w:after="0" w:before="0" w:line="480"/>
        <w:ind w:firstLine="720"/>
        <w:jc w:val="both"/>
      </w:pPr>
      <w:r>
        <w:rPr>
          <w:rFonts w:ascii="Times New Roman" w:cs="Times New Roman" w:eastAsia="Times New Roman" w:hAnsi="Times New Roman"/>
          <w:sz w:val="24"/>
          <w:szCs w:val="24"/>
        </w:rPr>
        <w:t xml:space="preserve">The four hypotheses, three baselines, and two primary outcomes were specified prior to the analyses presented below; the synthetic cohort generation seed, the algorithm code, and the analysis scripts will be made available in a public repository upon publication. The pre-registration statement, while not deposited in a formal registry given the synthetic nature of the data, follows the spirit of best practices for transparent computational evaluation (Hardwicke &amp; Wagenmakers, 2023). No exploratory analyses are reported in Section 5; secondary exploratory findings are reserved for Section 6 (Discussion) and clearly labeled.</w:t>
      </w:r>
    </w:p>
    <w:p>
      <w:r>
        <w:br w:type="page"/>
      </w:r>
    </w:p>
    <w:p>
      <w:pPr>
        <w:spacing w:after="60" w:before="240" w:line="360"/>
        <w:ind w:firstLine="0"/>
      </w:pPr>
      <w:r>
        <w:rPr>
          <w:rFonts w:ascii="Times New Roman" w:cs="Times New Roman" w:eastAsia="Times New Roman" w:hAnsi="Times New Roman"/>
          <w:b/>
          <w:bCs/>
          <w:sz w:val="24"/>
          <w:szCs w:val="24"/>
        </w:rPr>
        <w:t xml:space="preserve">Table 3</w:t>
      </w:r>
    </w:p>
    <w:p>
      <w:pPr>
        <w:spacing w:after="120" w:before="0" w:line="360"/>
        <w:ind w:firstLine="0"/>
      </w:pPr>
      <w:r>
        <w:rPr>
          <w:rFonts w:ascii="Times New Roman" w:cs="Times New Roman" w:eastAsia="Times New Roman" w:hAnsi="Times New Roman"/>
          <w:i/>
          <w:iCs/>
          <w:sz w:val="24"/>
          <w:szCs w:val="24"/>
        </w:rPr>
        <w:t xml:space="preserve">Synthetic Cohort Characteristics by Subgroup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1500"/>
        <w:gridCol w:w="1850"/>
        <w:gridCol w:w="1850"/>
        <w:gridCol w:w="2260"/>
      </w:tblGrid>
      <w:tr>
        <w:trPr>
          <w:tblHeader/>
        </w:trPr>
        <w:tc>
          <w:tcPr>
            <w:tcW w:type="dxa" w:w="19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Subgroup</w:t>
            </w:r>
          </w:p>
        </w:tc>
        <w:tc>
          <w:tcPr>
            <w:tcW w:type="dxa" w:w="15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N</w:t>
            </w:r>
          </w:p>
        </w:tc>
        <w:tc>
          <w:tcPr>
            <w:tcW w:type="dxa" w:w="185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Age range</w:t>
            </w:r>
          </w:p>
        </w:tc>
        <w:tc>
          <w:tcPr>
            <w:tcW w:type="dxa" w:w="185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Mean Fischer L</w:t>
            </w:r>
          </w:p>
        </w:tc>
        <w:tc>
          <w:tcPr>
            <w:tcW w:type="dxa" w:w="226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Mean RMSSD (ms)</w:t>
            </w:r>
          </w:p>
        </w:tc>
      </w:tr>
      <w:tr>
        <w:tc>
          <w:tcPr>
            <w:tcW w:type="dxa" w:w="19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Young adult</w:t>
            </w:r>
          </w:p>
        </w:tc>
        <w:tc>
          <w:tcPr>
            <w:tcW w:type="dxa" w:w="15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250</w:t>
            </w:r>
          </w:p>
        </w:tc>
        <w:tc>
          <w:tcPr>
            <w:tcW w:type="dxa" w:w="185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18–30</w:t>
            </w:r>
          </w:p>
        </w:tc>
        <w:tc>
          <w:tcPr>
            <w:tcW w:type="dxa" w:w="185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8.5 ± 1.0</w:t>
            </w:r>
          </w:p>
        </w:tc>
        <w:tc>
          <w:tcPr>
            <w:tcW w:type="dxa" w:w="226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55 ± 10</w:t>
            </w:r>
          </w:p>
        </w:tc>
      </w:tr>
      <w:tr>
        <w:tc>
          <w:tcPr>
            <w:tcW w:type="dxa" w:w="19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Middle-aged</w:t>
            </w:r>
          </w:p>
        </w:tc>
        <w:tc>
          <w:tcPr>
            <w:tcW w:type="dxa" w:w="15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350</w:t>
            </w:r>
          </w:p>
        </w:tc>
        <w:tc>
          <w:tcPr>
            <w:tcW w:type="dxa" w:w="185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31–45</w:t>
            </w:r>
          </w:p>
        </w:tc>
        <w:tc>
          <w:tcPr>
            <w:tcW w:type="dxa" w:w="185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10.0 ± 1.0</w:t>
            </w:r>
          </w:p>
        </w:tc>
        <w:tc>
          <w:tcPr>
            <w:tcW w:type="dxa" w:w="226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42 ± 10</w:t>
            </w:r>
          </w:p>
        </w:tc>
      </w:tr>
      <w:tr>
        <w:tc>
          <w:tcPr>
            <w:tcW w:type="dxa" w:w="19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Mature adult</w:t>
            </w:r>
          </w:p>
        </w:tc>
        <w:tc>
          <w:tcPr>
            <w:tcW w:type="dxa" w:w="15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300</w:t>
            </w:r>
          </w:p>
        </w:tc>
        <w:tc>
          <w:tcPr>
            <w:tcW w:type="dxa" w:w="185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46–65</w:t>
            </w:r>
          </w:p>
        </w:tc>
        <w:tc>
          <w:tcPr>
            <w:tcW w:type="dxa" w:w="185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11.0 ± 1.0</w:t>
            </w:r>
          </w:p>
        </w:tc>
        <w:tc>
          <w:tcPr>
            <w:tcW w:type="dxa" w:w="226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32 ± 10</w:t>
            </w:r>
          </w:p>
        </w:tc>
      </w:tr>
      <w:tr>
        <w:tc>
          <w:tcPr>
            <w:tcW w:type="dxa" w:w="19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Clinical</w:t>
            </w:r>
          </w:p>
        </w:tc>
        <w:tc>
          <w:tcPr>
            <w:tcW w:type="dxa" w:w="15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100</w:t>
            </w:r>
          </w:p>
        </w:tc>
        <w:tc>
          <w:tcPr>
            <w:tcW w:type="dxa" w:w="185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18–65</w:t>
            </w:r>
          </w:p>
        </w:tc>
        <w:tc>
          <w:tcPr>
            <w:tcW w:type="dxa" w:w="185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8.5 ± 1.2</w:t>
            </w:r>
          </w:p>
        </w:tc>
        <w:tc>
          <w:tcPr>
            <w:tcW w:type="dxa" w:w="226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25 ± 10</w:t>
            </w:r>
          </w:p>
        </w:tc>
      </w:tr>
      <w:tr>
        <w:tc>
          <w:tcPr>
            <w:tcW w:type="dxa" w:w="19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Total</w:t>
            </w:r>
          </w:p>
        </w:tc>
        <w:tc>
          <w:tcPr>
            <w:tcW w:type="dxa" w:w="15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1,000</w:t>
            </w:r>
          </w:p>
        </w:tc>
        <w:tc>
          <w:tcPr>
            <w:tcW w:type="dxa" w:w="185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18–65</w:t>
            </w:r>
          </w:p>
        </w:tc>
        <w:tc>
          <w:tcPr>
            <w:tcW w:type="dxa" w:w="185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w:t>
            </w:r>
          </w:p>
        </w:tc>
        <w:tc>
          <w:tcPr>
            <w:tcW w:type="dxa" w:w="226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w:t>
            </w:r>
          </w:p>
        </w:tc>
      </w:tr>
    </w:tbl>
    <w:p>
      <w:pPr>
        <w:spacing w:after="240" w:before="10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Fischer levels are reported as means ± SD on the L7–L13 scale. RMSSD norms are drawn from Shaffer and Ginsberg (2017) and Nunan et al. (2010), with subgroup means anchored to age-conditioned values. Clinical subgroup parameters reflect documented attenuation of vagal tone and elevated developmental difficulty in adult clinical populations.</w:t>
      </w:r>
    </w:p>
    <w:p>
      <w:r>
        <w:br w:type="page"/>
      </w:r>
    </w:p>
    <w:p>
      <w:pPr>
        <w:spacing w:after="60" w:before="60"/>
        <w:jc w:val="center"/>
      </w:pPr>
      <w:r>
        <w:drawing>
          <wp:inline distT="0" distB="0" distL="0" distR="0">
            <wp:extent cx="6217920" cy="2029582"/>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6217920" cy="2029582"/>
                    </a:xfrm>
                    <a:prstGeom prst="rect">
                      <a:avLst/>
                    </a:prstGeom>
                  </pic:spPr>
                </pic:pic>
              </a:graphicData>
            </a:graphic>
          </wp:inline>
        </w:drawing>
      </w:r>
    </w:p>
    <w:p>
      <w:pPr>
        <w:spacing w:after="60" w:before="180" w:line="360"/>
        <w:ind w:firstLine="0"/>
      </w:pPr>
      <w:r>
        <w:rPr>
          <w:rFonts w:ascii="Times New Roman" w:cs="Times New Roman" w:eastAsia="Times New Roman" w:hAnsi="Times New Roman"/>
          <w:b/>
          <w:bCs/>
          <w:sz w:val="24"/>
          <w:szCs w:val="24"/>
        </w:rPr>
        <w:t xml:space="preserve">Figure 3</w:t>
      </w:r>
    </w:p>
    <w:p>
      <w:pPr>
        <w:spacing w:after="60" w:before="0" w:line="360"/>
        <w:ind w:firstLine="0"/>
      </w:pPr>
      <w:r>
        <w:rPr>
          <w:rFonts w:ascii="Times New Roman" w:cs="Times New Roman" w:eastAsia="Times New Roman" w:hAnsi="Times New Roman"/>
          <w:i/>
          <w:iCs/>
          <w:sz w:val="24"/>
          <w:szCs w:val="24"/>
        </w:rPr>
        <w:t xml:space="preserve">Synthetic cohort design.</w:t>
      </w:r>
    </w:p>
    <w:p>
      <w:pPr>
        <w:spacing w:after="240" w:before="6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Panel A: scatter of age × Fischer level (mean across five axes) for the full cohort (N = 1,000). Panel B: distribution of RMSSD by subgroup. Panel C: mean Fischer level on each of the five skill axes, by subgroup. Cohort generation parameters were calibrated against published HRV norms (Shaffer &amp; Ginsberg, 2017) and developmental skill estimates (Mascolo &amp; Fischer, 2015).</w:t>
      </w:r>
    </w:p>
    <w:p>
      <w:r>
        <w:br w:type="page"/>
      </w:r>
    </w:p>
    <w:p>
      <w:pPr>
        <w:spacing w:after="60" w:before="240" w:line="360"/>
        <w:ind w:firstLine="0"/>
      </w:pPr>
      <w:r>
        <w:rPr>
          <w:rFonts w:ascii="Times New Roman" w:cs="Times New Roman" w:eastAsia="Times New Roman" w:hAnsi="Times New Roman"/>
          <w:b/>
          <w:bCs/>
          <w:sz w:val="24"/>
          <w:szCs w:val="24"/>
        </w:rPr>
        <w:t xml:space="preserve">Table 4</w:t>
      </w:r>
    </w:p>
    <w:p>
      <w:pPr>
        <w:spacing w:after="120" w:before="0" w:line="360"/>
        <w:ind w:firstLine="0"/>
      </w:pPr>
      <w:r>
        <w:rPr>
          <w:rFonts w:ascii="Times New Roman" w:cs="Times New Roman" w:eastAsia="Times New Roman" w:hAnsi="Times New Roman"/>
          <w:i/>
          <w:iCs/>
          <w:sz w:val="24"/>
          <w:szCs w:val="24"/>
        </w:rPr>
        <w:t xml:space="preserve">Pre-Specified Hypotheses, Tests, and Outcomes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3000"/>
        <w:gridCol w:w="2500"/>
        <w:gridCol w:w="2860"/>
      </w:tblGrid>
      <w:tr>
        <w:trPr>
          <w:tblHeader/>
        </w:trPr>
        <w:tc>
          <w:tcPr>
            <w:tcW w:type="dxa" w:w="10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Hyp.</w:t>
            </w:r>
          </w:p>
        </w:tc>
        <w:tc>
          <w:tcPr>
            <w:tcW w:type="dxa" w:w="30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Statement</w:t>
            </w:r>
          </w:p>
        </w:tc>
        <w:tc>
          <w:tcPr>
            <w:tcW w:type="dxa" w:w="25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Test</w:t>
            </w:r>
          </w:p>
        </w:tc>
        <w:tc>
          <w:tcPr>
            <w:tcW w:type="dxa" w:w="286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Falsifiability criterion</w:t>
            </w:r>
          </w:p>
        </w:tc>
      </w:tr>
      <w:tr>
        <w:tc>
          <w:tcPr>
            <w:tcW w:type="dxa" w:w="10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H1</w:t>
            </w:r>
          </w:p>
        </w:tc>
        <w:tc>
          <w:tcPr>
            <w:tcW w:type="dxa" w:w="30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γ from HRV predicts engagement.</w:t>
            </w:r>
          </w:p>
        </w:tc>
        <w:tc>
          <w:tcPr>
            <w:tcW w:type="dxa" w:w="25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AUC of γ → engaged (binary).</w:t>
            </w:r>
          </w:p>
        </w:tc>
        <w:tc>
          <w:tcPr>
            <w:tcW w:type="dxa" w:w="286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Rejected if AUC &lt; 0.80.</w:t>
            </w:r>
          </w:p>
        </w:tc>
      </w:tr>
      <w:tr>
        <w:tc>
          <w:tcPr>
            <w:tcW w:type="dxa" w:w="10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H2</w:t>
            </w:r>
          </w:p>
        </w:tc>
        <w:tc>
          <w:tcPr>
            <w:tcW w:type="dxa" w:w="30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Learning rate is inverted-U in I, peak near I ≈ 1.0 nats.</w:t>
            </w:r>
          </w:p>
        </w:tc>
        <w:tc>
          <w:tcPr>
            <w:tcW w:type="dxa" w:w="25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Curve fit; peak location 95% CI.</w:t>
            </w:r>
          </w:p>
        </w:tc>
        <w:tc>
          <w:tcPr>
            <w:tcW w:type="dxa" w:w="286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Rejected if peak outside [0.5, 1.5] nats or monotone.</w:t>
            </w:r>
          </w:p>
        </w:tc>
      </w:tr>
      <w:tr>
        <w:tc>
          <w:tcPr>
            <w:tcW w:type="dxa" w:w="10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H3</w:t>
            </w:r>
          </w:p>
        </w:tc>
        <w:tc>
          <w:tcPr>
            <w:tcW w:type="dxa" w:w="30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U dominates G at L7–L8; I dominates at L12–L13.</w:t>
            </w:r>
          </w:p>
        </w:tc>
        <w:tc>
          <w:tcPr>
            <w:tcW w:type="dxa" w:w="25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Per-level share statistic.</w:t>
            </w:r>
          </w:p>
        </w:tc>
        <w:tc>
          <w:tcPr>
            <w:tcW w:type="dxa" w:w="286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Rejected if neither end ≥ 0.65.</w:t>
            </w:r>
          </w:p>
        </w:tc>
      </w:tr>
      <w:tr>
        <w:tc>
          <w:tcPr>
            <w:tcW w:type="dxa" w:w="10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H4</w:t>
            </w:r>
          </w:p>
        </w:tc>
        <w:tc>
          <w:tcPr>
            <w:tcW w:type="dxa" w:w="30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EFE outperforms difficulty-only, random, and symptom-only baselines by ≥ 0.10 AUC on both engagement and learning.</w:t>
            </w:r>
          </w:p>
        </w:tc>
        <w:tc>
          <w:tcPr>
            <w:tcW w:type="dxa" w:w="25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Pairwise AUC differences; bootstrap CI; Mann–Whitney with Bonferroni.</w:t>
            </w:r>
          </w:p>
        </w:tc>
        <w:tc>
          <w:tcPr>
            <w:tcW w:type="dxa" w:w="286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Rejected if any pairwise AUC gap &lt; 0.10.</w:t>
            </w:r>
          </w:p>
        </w:tc>
      </w:tr>
    </w:tbl>
    <w:p>
      <w:pPr>
        <w:spacing w:after="240" w:before="10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All four hypotheses are pre-specified, directional, and falsifiable. The AUC threshold of 0.10 in H4 reflects clinical-relevance criteria from analogous adaptive-learning evaluations (Pelánek, 2017). All tests are conducted on the held-out simulation seed; no exploratory analysis is included in the Section 5 results.</w:t>
      </w:r>
    </w:p>
    <w:p>
      <w:r>
        <w:br w:type="page"/>
      </w:r>
    </w:p>
    <w:p>
      <w:pPr>
        <w:spacing w:after="120" w:before="240" w:line="480"/>
        <w:ind w:firstLine="0"/>
        <w:jc w:val="center"/>
      </w:pPr>
      <w:r>
        <w:rPr>
          <w:rFonts w:ascii="Times New Roman" w:cs="Times New Roman" w:eastAsia="Times New Roman" w:hAnsi="Times New Roman"/>
          <w:b/>
          <w:bCs/>
          <w:sz w:val="26"/>
          <w:szCs w:val="26"/>
        </w:rPr>
        <w:t xml:space="preserve">5. Results</w:t>
      </w:r>
    </w:p>
    <w:p>
      <w:pPr>
        <w:spacing w:after="0" w:before="0" w:line="480"/>
        <w:ind w:firstLine="720"/>
        <w:jc w:val="both"/>
      </w:pPr>
      <w:r>
        <w:rPr>
          <w:rFonts w:ascii="Times New Roman" w:cs="Times New Roman" w:eastAsia="Times New Roman" w:hAnsi="Times New Roman"/>
          <w:sz w:val="24"/>
          <w:szCs w:val="24"/>
        </w:rPr>
        <w:t xml:space="preserve">This section reports the outcomes of the in silico evaluation on each of the four pre-specified hypotheses. All quantitative summaries are bootstrap means with 95% confidence intervals where applicable; all pairwise comparisons use Mann–Whitney U with Bonferroni correction across the four-way comparison structure of H4.</w:t>
      </w:r>
    </w:p>
    <w:p>
      <w:pPr>
        <w:spacing w:after="100" w:before="180" w:line="480"/>
        <w:ind w:firstLine="0"/>
        <w:jc w:val="left"/>
      </w:pPr>
      <w:r>
        <w:rPr>
          <w:rFonts w:ascii="Times New Roman" w:cs="Times New Roman" w:eastAsia="Times New Roman" w:hAnsi="Times New Roman"/>
          <w:b/>
          <w:bCs/>
          <w:sz w:val="24"/>
          <w:szCs w:val="24"/>
        </w:rPr>
        <w:t xml:space="preserve">5.1 H1 — Precision Predicts Engagement</w:t>
      </w:r>
    </w:p>
    <w:p>
      <w:pPr>
        <w:spacing w:after="0" w:before="0" w:line="480"/>
        <w:ind w:firstLine="720"/>
        <w:jc w:val="both"/>
      </w:pPr>
      <w:r>
        <w:rPr>
          <w:rFonts w:ascii="Times New Roman" w:cs="Times New Roman" w:eastAsia="Times New Roman" w:hAnsi="Times New Roman"/>
          <w:sz w:val="24"/>
          <w:szCs w:val="24"/>
        </w:rPr>
        <w:t xml:space="preserve">Across the simulated 28-day window, the precision parameter γ at the time of task delivery predicted task engagement with an area under the ROC curve of 0.86 (95% bootstrap CI [0.84, 0.88]; Figure 4, panel A). The relationship between γ and engagement probability was well-fit by a logistic function with inflection at γ = 0.50 (95% CI [0.47, 0.53]) and slope 4.0 (95% CI [3.6, 4.4]). Hypothesis H1 is supported: the AUC exceeds the pre-specified threshold of 0.80.</w:t>
      </w:r>
    </w:p>
    <w:p>
      <w:pPr>
        <w:spacing w:after="0" w:before="0" w:line="480"/>
        <w:ind w:firstLine="720"/>
        <w:jc w:val="both"/>
      </w:pPr>
      <w:r>
        <w:rPr>
          <w:rFonts w:ascii="Times New Roman" w:cs="Times New Roman" w:eastAsia="Times New Roman" w:hAnsi="Times New Roman"/>
          <w:sz w:val="24"/>
          <w:szCs w:val="24"/>
        </w:rPr>
        <w:t xml:space="preserve">Two patterns in the residuals are worth noting for the prospective phases. First, engagement at γ &lt; 0.30 was rare across all subgroups, suggesting that the precision component of EFE may saturate at the low end (i.e., further reductions in γ below 0.30 do not produce meaningful additional reductions in engagement, perhaps because Step 0 already routes such learners away from the selector). Second, engagement at γ &gt; 1.20 showed greater variance than the logistic fit predicted, plausibly because at high γ engagement depends on factors other than precision (e.g., goal alignment, task novelty). These patterns will be tested empirically.</w:t>
      </w:r>
    </w:p>
    <w:p>
      <w:pPr>
        <w:spacing w:after="100" w:before="180" w:line="480"/>
        <w:ind w:firstLine="0"/>
        <w:jc w:val="left"/>
      </w:pPr>
      <w:r>
        <w:rPr>
          <w:rFonts w:ascii="Times New Roman" w:cs="Times New Roman" w:eastAsia="Times New Roman" w:hAnsi="Times New Roman"/>
          <w:b/>
          <w:bCs/>
          <w:sz w:val="24"/>
          <w:szCs w:val="24"/>
        </w:rPr>
        <w:t xml:space="preserve">5.2 H2 — Inverted-U Over Information Gain</w:t>
      </w:r>
    </w:p>
    <w:p>
      <w:pPr>
        <w:spacing w:after="0" w:before="0" w:line="480"/>
        <w:ind w:firstLine="720"/>
        <w:jc w:val="both"/>
      </w:pPr>
      <w:r>
        <w:rPr>
          <w:rFonts w:ascii="Times New Roman" w:cs="Times New Roman" w:eastAsia="Times New Roman" w:hAnsi="Times New Roman"/>
          <w:sz w:val="24"/>
          <w:szCs w:val="24"/>
        </w:rPr>
        <w:t xml:space="preserve">Learning rate (Fischer level change per 4-week interval, mean across cohort and axes) plotted against information gain I produced the predicted inverted-U shape (Figure 4, panel B). A Gaussian fit to the curve produced a peak at I = 1.00 nats (95% CI [0.91, 1.09]) and a half-width at half-maximum of 0.65 nats. Learning rate at the peak was 0.85 Fischer levels per 4 weeks; at I = 0 (no information gain), learning rate was approximately zero; at I = 2.5 nats (over-challenge), learning rate was 0.08 levels per 4 weeks. Hypothesis H2 is supported: the peak falls well within the pre-specified [0.5, 1.5] nats interval.</w:t>
      </w:r>
    </w:p>
    <w:p>
      <w:pPr>
        <w:spacing w:after="0" w:before="0" w:line="480"/>
        <w:ind w:firstLine="720"/>
        <w:jc w:val="both"/>
      </w:pPr>
      <w:r>
        <w:rPr>
          <w:rFonts w:ascii="Times New Roman" w:cs="Times New Roman" w:eastAsia="Times New Roman" w:hAnsi="Times New Roman"/>
          <w:sz w:val="24"/>
          <w:szCs w:val="24"/>
        </w:rPr>
        <w:t xml:space="preserve">The width of the peak has implications for selector tuning. Tasks within the half-width window (I ∈ [0.35, 1.65] nats) produced learning rates above half the maximum; tasks outside this window were either too easy to teach or too hard to absorb. The selector’s diversity-adjusted G ensures coverage across this window over multi-day intervals.</w:t>
      </w:r>
    </w:p>
    <w:p>
      <w:pPr>
        <w:spacing w:after="100" w:before="180" w:line="480"/>
        <w:ind w:firstLine="0"/>
        <w:jc w:val="left"/>
      </w:pPr>
      <w:r>
        <w:rPr>
          <w:rFonts w:ascii="Times New Roman" w:cs="Times New Roman" w:eastAsia="Times New Roman" w:hAnsi="Times New Roman"/>
          <w:b/>
          <w:bCs/>
          <w:sz w:val="24"/>
          <w:szCs w:val="24"/>
        </w:rPr>
        <w:t xml:space="preserve">5.3 H3 — Stage-Dependent Decomposition</w:t>
      </w:r>
    </w:p>
    <w:p>
      <w:pPr>
        <w:spacing w:after="0" w:before="0" w:line="480"/>
        <w:ind w:firstLine="720"/>
        <w:jc w:val="both"/>
      </w:pPr>
      <w:r>
        <w:rPr>
          <w:rFonts w:ascii="Times New Roman" w:cs="Times New Roman" w:eastAsia="Times New Roman" w:hAnsi="Times New Roman"/>
          <w:sz w:val="24"/>
          <w:szCs w:val="24"/>
        </w:rPr>
        <w:t xml:space="preserve">At Fischer level L7, the pragmatic share (|γ·U| / [|γ·U| + |γ·I|]) of the selector’s decisions was 0.70 (95% CI [0.66, 0.74]); the epistemic share was 0.30. At Fischer level L13, the pragmatic share dropped to 0.28 (95% CI [0.24, 0.32]); the epistemic share was 0.72. The shift was monotone across intermediate levels (Figure 4, panel C, and Table 5). Hypothesis H3 is supported: pragmatic share at L7–L8 exceeded 0.65, and epistemic share at L12–L13 exceeded 0.65.</w:t>
      </w:r>
    </w:p>
    <w:p>
      <w:pPr>
        <w:spacing w:after="0" w:before="0" w:line="480"/>
        <w:ind w:firstLine="720"/>
        <w:jc w:val="both"/>
      </w:pPr>
      <w:r>
        <w:rPr>
          <w:rFonts w:ascii="Times New Roman" w:cs="Times New Roman" w:eastAsia="Times New Roman" w:hAnsi="Times New Roman"/>
          <w:sz w:val="24"/>
          <w:szCs w:val="24"/>
        </w:rPr>
        <w:t xml:space="preserve">Two interpretive observations follow. First, the crossover point at which pragmatic and epistemic shares are equal occurred at L10 (the canonical Fischer level for adult representational abstraction; Mascolo &amp; Fischer, 2015), which corresponds to the developmental transition from concrete to abstract operations. The synthetic experiment thus reproduces a structural feature of dynamic skill theory in the absence of any explicit instruction to do so. Second, the shift was driven primarily by the information-gain side: I(c) values for available candidates grew with the learner’s Fischer level (because the posterior was more confidently positioned and informative shifts became easier to identify), while U(c) values remained roughly constant in absolute terms. The selector responded to this asymmetry by reweighting toward the larger signal.</w:t>
      </w:r>
    </w:p>
    <w:p>
      <w:pPr>
        <w:spacing w:after="100" w:before="180" w:line="480"/>
        <w:ind w:firstLine="0"/>
        <w:jc w:val="left"/>
      </w:pPr>
      <w:r>
        <w:rPr>
          <w:rFonts w:ascii="Times New Roman" w:cs="Times New Roman" w:eastAsia="Times New Roman" w:hAnsi="Times New Roman"/>
          <w:b/>
          <w:bCs/>
          <w:sz w:val="24"/>
          <w:szCs w:val="24"/>
        </w:rPr>
        <w:t xml:space="preserve">5.4 H4 — Comparative Performance Against Baselines</w:t>
      </w:r>
    </w:p>
    <w:p>
      <w:pPr>
        <w:spacing w:after="0" w:before="0" w:line="480"/>
        <w:ind w:firstLine="720"/>
        <w:jc w:val="both"/>
      </w:pPr>
      <w:r>
        <w:rPr>
          <w:rFonts w:ascii="Times New Roman" w:cs="Times New Roman" w:eastAsia="Times New Roman" w:hAnsi="Times New Roman"/>
          <w:sz w:val="24"/>
          <w:szCs w:val="24"/>
        </w:rPr>
        <w:t xml:space="preserve">On the engagement AUC outcome, the EFE selector achieved 0.86 (95% CI [0.84, 0.88]). The three baselines achieved 0.71 (difficulty-only, 95% CI [0.68, 0.74]), 0.50 (random, 95% CI [0.47, 0.53]), and 0.64 (symptom-only, 95% CI [0.61, 0.67]). Pairwise comparisons against EFE were significant for all three baselines (Mann–Whitney U, Bonferroni-corrected p &lt; 0.001 for each). The EFE–baseline AUC gaps were 0.15, 0.36, and 0.22 respectively, all exceeding the pre-specified threshold of 0.10.</w:t>
      </w:r>
    </w:p>
    <w:p>
      <w:pPr>
        <w:spacing w:after="0" w:before="0" w:line="480"/>
        <w:ind w:firstLine="720"/>
        <w:jc w:val="both"/>
      </w:pPr>
      <w:r>
        <w:rPr>
          <w:rFonts w:ascii="Times New Roman" w:cs="Times New Roman" w:eastAsia="Times New Roman" w:hAnsi="Times New Roman"/>
          <w:sz w:val="24"/>
          <w:szCs w:val="24"/>
        </w:rPr>
        <w:t xml:space="preserve">On the learning AUC outcome, the EFE selector achieved 0.81 (95% CI [0.79, 0.83]). The three baselines achieved 0.66 (difficulty-only, 95% CI [0.63, 0.69]), 0.50 (random, 95% CI [0.47, 0.53]), and 0.59 (symptom-only, 95% CI [0.56, 0.62]). Pairwise comparisons against EFE were significant for all three baselines (Bonferroni-corrected p &lt; 0.001 for each). The EFE–baseline AUC gaps were 0.15, 0.31, and 0.22 respectively, again all exceeding 0.10.</w:t>
      </w:r>
    </w:p>
    <w:p>
      <w:pPr>
        <w:spacing w:after="0" w:before="0" w:line="480"/>
        <w:ind w:firstLine="720"/>
        <w:jc w:val="both"/>
      </w:pPr>
      <w:r>
        <w:rPr>
          <w:rFonts w:ascii="Times New Roman" w:cs="Times New Roman" w:eastAsia="Times New Roman" w:hAnsi="Times New Roman"/>
          <w:sz w:val="24"/>
          <w:szCs w:val="24"/>
        </w:rPr>
        <w:t xml:space="preserve">Hypothesis H4 is supported: the EFE selector outperformed all three baselines on both engagement and learning AUC, with margins exceeding the pre-specified threshold. The strongest baseline (difficulty-only) achieved approximately 80% of the EFE selector’s performance on engagement (0.71 vs. 0.86) and 81% on learning (0.66 vs. 0.81), confirming that difficulty-matching captures part of the relevant decision structure but leaves substantial room for improvement when goal alignment, precision, and information gain are jointly modeled.</w:t>
      </w:r>
    </w:p>
    <w:p>
      <w:pPr>
        <w:spacing w:after="100" w:before="180" w:line="480"/>
        <w:ind w:firstLine="0"/>
        <w:jc w:val="left"/>
      </w:pPr>
      <w:r>
        <w:rPr>
          <w:rFonts w:ascii="Times New Roman" w:cs="Times New Roman" w:eastAsia="Times New Roman" w:hAnsi="Times New Roman"/>
          <w:b/>
          <w:bCs/>
          <w:sz w:val="24"/>
          <w:szCs w:val="24"/>
        </w:rPr>
        <w:t xml:space="preserve">5.5 Secondary Outcomes</w:t>
      </w:r>
    </w:p>
    <w:p>
      <w:pPr>
        <w:spacing w:after="0" w:before="0" w:line="480"/>
        <w:ind w:firstLine="720"/>
        <w:jc w:val="both"/>
      </w:pPr>
      <w:r>
        <w:rPr>
          <w:rFonts w:ascii="Times New Roman" w:cs="Times New Roman" w:eastAsia="Times New Roman" w:hAnsi="Times New Roman"/>
          <w:sz w:val="24"/>
          <w:szCs w:val="24"/>
        </w:rPr>
        <w:t xml:space="preserve">Mean learning rate across the cohort was 0.74 Fischer levels per 4 weeks for the EFE selector, 0.56 for difficulty-only, 0.21 for random, and 0.48 for symptom-only. Selector diversity (mean number of distinct axes covered per 7 days) was 4.2 (of 5) for EFE, 3.4 for difficulty-only, 4.8 for random (by construction), and 3.0 for symptom-only. Cumulative regret across the 28-day window relative to the omniscient optimal task was 1.4 ± 0.3 Fischer levels for EFE, 3.7 ± 0.6 for difficulty-only, 7.1 ± 0.8 for random, and 4.5 ± 0.7 for symptom-only.</w:t>
      </w:r>
    </w:p>
    <w:p>
      <w:pPr>
        <w:spacing w:after="0" w:before="0" w:line="480"/>
        <w:ind w:firstLine="720"/>
        <w:jc w:val="both"/>
      </w:pPr>
      <w:r>
        <w:rPr>
          <w:rFonts w:ascii="Times New Roman" w:cs="Times New Roman" w:eastAsia="Times New Roman" w:hAnsi="Times New Roman"/>
          <w:sz w:val="24"/>
          <w:szCs w:val="24"/>
        </w:rPr>
        <w:t xml:space="preserve">The diversity result is notable. EFE achieves coverage close to that of random selection (the only baseline that uniformly covers all axes by design) while substantially outperforming the others on both engagement and learning. The diversity adjustment (M4) is responsible for this property; without M4, the EFE selector also tends toward axis specialization (mean coverage 2.9 of 5 in the no-M4 ablation, with engagement AUC 0.84 and learning AUC 0.79). The diversity adjustment thus contributes to balanced multi-axis development without substantial cost to the primary outcomes.</w:t>
      </w:r>
    </w:p>
    <w:p>
      <w:pPr>
        <w:spacing w:after="100" w:before="180" w:line="480"/>
        <w:ind w:firstLine="0"/>
        <w:jc w:val="left"/>
      </w:pPr>
      <w:r>
        <w:rPr>
          <w:rFonts w:ascii="Times New Roman" w:cs="Times New Roman" w:eastAsia="Times New Roman" w:hAnsi="Times New Roman"/>
          <w:b/>
          <w:bCs/>
          <w:sz w:val="24"/>
          <w:szCs w:val="24"/>
        </w:rPr>
        <w:t xml:space="preserve">5.6 Sensitivity to Cohort and Algorithm Parameters</w:t>
      </w:r>
    </w:p>
    <w:p>
      <w:pPr>
        <w:spacing w:after="0" w:before="0" w:line="480"/>
        <w:ind w:firstLine="720"/>
        <w:jc w:val="both"/>
      </w:pPr>
      <w:r>
        <w:rPr>
          <w:rFonts w:ascii="Times New Roman" w:cs="Times New Roman" w:eastAsia="Times New Roman" w:hAnsi="Times New Roman"/>
          <w:sz w:val="24"/>
          <w:szCs w:val="24"/>
        </w:rPr>
        <w:t xml:space="preserve">Three robustness checks were performed. (a) Doubling the cohort size to N = 2,000 left all primary outcomes within 0.01 AUC of the reported values. (b) Varying the Monte Carlo sample size in M2 from 10 to 200 changed engagement AUC by no more than 0.005 above n = 30; we retain n = 50 as a compromise between numerical stability and per-decision wall-clock time. (c) Removing the population-norm component of γ (using only individual-baseline-adjusted RMSSD) reduced engagement AUC by 0.04 (from 0.86 to 0.82) and learning AUC by 0.03 (from 0.81 to 0.78), with all qualitative findings preserved; this confirms that the precision component is robust to the specific normalization choice. (d) Varying the diversity penalty hyperparameters λ_r and λ_a within a factor of three around our defaults produced only minor changes in coverage and AUC.</w:t>
      </w:r>
    </w:p>
    <w:p>
      <w:pPr>
        <w:spacing w:after="0" w:before="0" w:line="480"/>
        <w:ind w:firstLine="720"/>
        <w:jc w:val="both"/>
      </w:pPr>
      <w:r>
        <w:rPr>
          <w:rFonts w:ascii="Times New Roman" w:cs="Times New Roman" w:eastAsia="Times New Roman" w:hAnsi="Times New Roman"/>
          <w:sz w:val="24"/>
          <w:szCs w:val="24"/>
        </w:rPr>
        <w:t xml:space="preserve">We did not conduct exhaustive sensitivity analyses on the response model, the candidate library content, or the Step 0 rules; these are domains in which assumptions are more difficult to vary without changing the substantive scenario. The prospective validation phases will address sensitivity to these assumptions directly by collecting empirical data on response patterns, by curating libraries in collaboration with multiple clinicians, and by deploying multiple Step 0 policies.</w:t>
      </w:r>
    </w:p>
    <w:p>
      <w:r>
        <w:br w:type="page"/>
      </w:r>
    </w:p>
    <w:p>
      <w:pPr>
        <w:spacing w:after="60" w:before="60"/>
        <w:jc w:val="center"/>
      </w:pPr>
      <w:r>
        <w:drawing>
          <wp:inline distT="0" distB="0" distL="0" distR="0">
            <wp:extent cx="5943600" cy="4514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43600" cy="4514500"/>
                    </a:xfrm>
                    <a:prstGeom prst="rect">
                      <a:avLst/>
                    </a:prstGeom>
                  </pic:spPr>
                </pic:pic>
              </a:graphicData>
            </a:graphic>
          </wp:inline>
        </w:drawing>
      </w:r>
    </w:p>
    <w:p>
      <w:pPr>
        <w:spacing w:after="60" w:before="180" w:line="360"/>
        <w:ind w:firstLine="0"/>
      </w:pPr>
      <w:r>
        <w:rPr>
          <w:rFonts w:ascii="Times New Roman" w:cs="Times New Roman" w:eastAsia="Times New Roman" w:hAnsi="Times New Roman"/>
          <w:b/>
          <w:bCs/>
          <w:sz w:val="24"/>
          <w:szCs w:val="24"/>
        </w:rPr>
        <w:t xml:space="preserve">Figure 4</w:t>
      </w:r>
    </w:p>
    <w:p>
      <w:pPr>
        <w:spacing w:after="60" w:before="0" w:line="360"/>
        <w:ind w:firstLine="0"/>
      </w:pPr>
      <w:r>
        <w:rPr>
          <w:rFonts w:ascii="Times New Roman" w:cs="Times New Roman" w:eastAsia="Times New Roman" w:hAnsi="Times New Roman"/>
          <w:i/>
          <w:iCs/>
          <w:sz w:val="24"/>
          <w:szCs w:val="24"/>
        </w:rPr>
        <w:t xml:space="preserve">In silico evaluation results across the four pre-specified hypotheses.</w:t>
      </w:r>
    </w:p>
    <w:p>
      <w:pPr>
        <w:spacing w:after="240" w:before="6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Panel A (H1): engagement probability as a function of precision γ; logistic fit with AUC = 0.86. Panel B (H2): inverted-U learning rate over information gain, peak at I ≈ 1.0 nats. Panel C (H3): stage-dependent shift in the pragmatic (U) versus epistemic (I) contribution to G across Fischer levels L7–L13. Panel D (H4): engagement and learning AUC for EFE selector versus difficulty-only, random, and symptom-only baselines; EFE exceeds each baseline by ≥ 0.15 AUC on both outcomes. N = 1,000 synthetic learners.</w:t>
      </w:r>
    </w:p>
    <w:p>
      <w:r>
        <w:br w:type="page"/>
      </w:r>
    </w:p>
    <w:p>
      <w:pPr>
        <w:spacing w:after="60" w:before="240" w:line="360"/>
        <w:ind w:firstLine="0"/>
      </w:pPr>
      <w:r>
        <w:rPr>
          <w:rFonts w:ascii="Times New Roman" w:cs="Times New Roman" w:eastAsia="Times New Roman" w:hAnsi="Times New Roman"/>
          <w:b/>
          <w:bCs/>
          <w:sz w:val="24"/>
          <w:szCs w:val="24"/>
        </w:rPr>
        <w:t xml:space="preserve">Table 5</w:t>
      </w:r>
    </w:p>
    <w:p>
      <w:pPr>
        <w:spacing w:after="120" w:before="0" w:line="360"/>
        <w:ind w:firstLine="0"/>
      </w:pPr>
      <w:r>
        <w:rPr>
          <w:rFonts w:ascii="Times New Roman" w:cs="Times New Roman" w:eastAsia="Times New Roman" w:hAnsi="Times New Roman"/>
          <w:i/>
          <w:iCs/>
          <w:sz w:val="24"/>
          <w:szCs w:val="24"/>
        </w:rPr>
        <w:t xml:space="preserve">In Silico Results: Primary and Secondary Outcomes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640"/>
        <w:gridCol w:w="1640"/>
        <w:gridCol w:w="1640"/>
        <w:gridCol w:w="1640"/>
      </w:tblGrid>
      <w:tr>
        <w:trPr>
          <w:tblHeader/>
        </w:trPr>
        <w:tc>
          <w:tcPr>
            <w:tcW w:type="dxa" w:w="28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Outcome</w:t>
            </w:r>
          </w:p>
        </w:tc>
        <w:tc>
          <w:tcPr>
            <w:tcW w:type="dxa" w:w="164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EFE</w:t>
            </w:r>
          </w:p>
        </w:tc>
        <w:tc>
          <w:tcPr>
            <w:tcW w:type="dxa" w:w="164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Difficulty</w:t>
            </w:r>
          </w:p>
        </w:tc>
        <w:tc>
          <w:tcPr>
            <w:tcW w:type="dxa" w:w="164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Random</w:t>
            </w:r>
          </w:p>
        </w:tc>
        <w:tc>
          <w:tcPr>
            <w:tcW w:type="dxa" w:w="164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Symptom</w:t>
            </w:r>
          </w:p>
        </w:tc>
      </w:tr>
      <w:tr>
        <w:tc>
          <w:tcPr>
            <w:tcW w:type="dxa" w:w="28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Engagement AUC</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0.86</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0.71</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0.50</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0.64</w:t>
            </w:r>
          </w:p>
        </w:tc>
      </w:tr>
      <w:tr>
        <w:tc>
          <w:tcPr>
            <w:tcW w:type="dxa" w:w="28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i/>
                <w:iCs/>
                <w:sz w:val="20"/>
                <w:szCs w:val="20"/>
              </w:rPr>
              <w:t xml:space="preserve">Engagement 95% CI</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[0.84, 0.88]</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[0.68, 0.74]</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[0.47, 0.53]</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[0.61, 0.67]</w:t>
            </w:r>
          </w:p>
        </w:tc>
      </w:tr>
      <w:tr>
        <w:tc>
          <w:tcPr>
            <w:tcW w:type="dxa" w:w="28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Learning AUC</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0.81</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0.66</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0.50</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0.59</w:t>
            </w:r>
          </w:p>
        </w:tc>
      </w:tr>
      <w:tr>
        <w:tc>
          <w:tcPr>
            <w:tcW w:type="dxa" w:w="28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i/>
                <w:iCs/>
                <w:sz w:val="20"/>
                <w:szCs w:val="20"/>
              </w:rPr>
              <w:t xml:space="preserve">Learning 95% CI</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[0.79, 0.83]</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[0.63, 0.69]</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[0.47, 0.53]</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[0.56, 0.62]</w:t>
            </w:r>
          </w:p>
        </w:tc>
      </w:tr>
      <w:tr>
        <w:tc>
          <w:tcPr>
            <w:tcW w:type="dxa" w:w="28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Mean learning rate (L/4wk)</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0.74</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0.56</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0.21</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0.48</w:t>
            </w:r>
          </w:p>
        </w:tc>
      </w:tr>
      <w:tr>
        <w:tc>
          <w:tcPr>
            <w:tcW w:type="dxa" w:w="28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Coverage (axes/7d)</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4.2</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3.4</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4.8</w:t>
            </w:r>
          </w:p>
        </w:tc>
        <w:tc>
          <w:tcPr>
            <w:tcW w:type="dxa" w:w="164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3.0</w:t>
            </w:r>
          </w:p>
        </w:tc>
      </w:tr>
      <w:tr>
        <w:tc>
          <w:tcPr>
            <w:tcW w:type="dxa" w:w="28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Cumulative regret (L)</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1.4 ± 0.3</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3.7 ± 0.6</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7.1 ± 0.8</w:t>
            </w:r>
          </w:p>
        </w:tc>
        <w:tc>
          <w:tcPr>
            <w:tcW w:type="dxa" w:w="164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4.5 ± 0.7</w:t>
            </w:r>
          </w:p>
        </w:tc>
      </w:tr>
    </w:tbl>
    <w:p>
      <w:pPr>
        <w:spacing w:after="240" w:before="10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Primary outcomes (engagement AUC, learning AUC) are pre-specified; secondary outcomes (learning rate, coverage, regret) are descriptive. All pairwise comparisons of EFE against baselines on the primary outcomes are significant at Bonferroni-corrected p &lt; 0.001 (Mann–Whitney U). Confidence intervals are bootstrap (10,000 resamples). Regret is computed relative to the omniscient optimal task at each step.</w:t>
      </w:r>
    </w:p>
    <w:p>
      <w:r>
        <w:br w:type="page"/>
      </w:r>
    </w:p>
    <w:p>
      <w:pPr>
        <w:spacing w:after="120" w:before="240" w:line="480"/>
        <w:ind w:firstLine="0"/>
        <w:jc w:val="center"/>
      </w:pPr>
      <w:r>
        <w:rPr>
          <w:rFonts w:ascii="Times New Roman" w:cs="Times New Roman" w:eastAsia="Times New Roman" w:hAnsi="Times New Roman"/>
          <w:b/>
          <w:bCs/>
          <w:sz w:val="26"/>
          <w:szCs w:val="26"/>
        </w:rPr>
        <w:t xml:space="preserve">6. Clinical Implementation: Learning Catcher</w:t>
      </w:r>
    </w:p>
    <w:p>
      <w:pPr>
        <w:spacing w:after="0" w:before="0" w:line="480"/>
        <w:ind w:firstLine="720"/>
        <w:jc w:val="both"/>
      </w:pPr>
      <w:r>
        <w:rPr>
          <w:rFonts w:ascii="Times New Roman" w:cs="Times New Roman" w:eastAsia="Times New Roman" w:hAnsi="Times New Roman"/>
          <w:sz w:val="24"/>
          <w:szCs w:val="24"/>
        </w:rPr>
        <w:t xml:space="preserve">The EFE selector is the algorithmic core of a clinical decision support system, Learning Catcher, currently in beta evaluation at Boston Neuromind LLC. This section briefly describes the system in which the selector is embedded, in order to make the in silico results interpretable to readers who would deploy comparable systems and to delineate the boundary between algorithmic claims (which are evaluated in Section 5) and implementation claims (which are not).</w:t>
      </w:r>
    </w:p>
    <w:p>
      <w:pPr>
        <w:spacing w:after="100" w:before="180" w:line="480"/>
        <w:ind w:firstLine="0"/>
        <w:jc w:val="left"/>
      </w:pPr>
      <w:r>
        <w:rPr>
          <w:rFonts w:ascii="Times New Roman" w:cs="Times New Roman" w:eastAsia="Times New Roman" w:hAnsi="Times New Roman"/>
          <w:b/>
          <w:bCs/>
          <w:sz w:val="24"/>
          <w:szCs w:val="24"/>
        </w:rPr>
        <w:t xml:space="preserve">6.1 9-Loop Architecture</w:t>
      </w:r>
    </w:p>
    <w:p>
      <w:pPr>
        <w:spacing w:after="0" w:before="0" w:line="480"/>
        <w:ind w:firstLine="720"/>
        <w:jc w:val="both"/>
      </w:pPr>
      <w:r>
        <w:rPr>
          <w:rFonts w:ascii="Times New Roman" w:cs="Times New Roman" w:eastAsia="Times New Roman" w:hAnsi="Times New Roman"/>
          <w:sz w:val="24"/>
          <w:szCs w:val="24"/>
        </w:rPr>
        <w:t xml:space="preserve">The system is organized as nine functional loops grouped into a learner loop (L1–L5, L9) and a clinician loop (L6–L8). The learner loop captures physiological and behavioral state (L1: Sense), estimates the learner’s position in the developmental space (L2: Locate), selects the next task via the EFE selector (L3: Decide), delivers the selected task (L4: Deliver), and updates the system’s belief about the learner from the observed response (L5: Update). The clinician loop summarizes recent sessions for the supervising clinician (L6: Summarize), incorporates clinician feedback into the system’s policies (L7: Feedback), and conducts safety audits (L8: Audit). A retention loop (L9: Catcher World) supports between-session continuity through a low-friction gamified interface.</w:t>
      </w:r>
    </w:p>
    <w:p>
      <w:pPr>
        <w:spacing w:after="0" w:before="0" w:line="480"/>
        <w:ind w:firstLine="720"/>
        <w:jc w:val="both"/>
      </w:pPr>
      <w:r>
        <w:rPr>
          <w:rFonts w:ascii="Times New Roman" w:cs="Times New Roman" w:eastAsia="Times New Roman" w:hAnsi="Times New Roman"/>
          <w:sz w:val="24"/>
          <w:szCs w:val="24"/>
        </w:rPr>
        <w:t xml:space="preserve">The EFE selector specified in Section 3 corresponds precisely to L3. Loops 1 and 2 supply its inputs: L1 supplies S_t (the HRV stream and behavioral state vector), and L2 supplies Q_t (the multi-axis Fischer-level posterior). Loop 5 implements the Bayesian update of Q_t after each task response. Loops 6 through 9 are external to the selector’s decision but shape its operating environment by closing the clinical-retention cycle.</w:t>
      </w:r>
    </w:p>
    <w:p>
      <w:pPr>
        <w:spacing w:after="100" w:before="180" w:line="480"/>
        <w:ind w:firstLine="0"/>
        <w:jc w:val="left"/>
      </w:pPr>
      <w:r>
        <w:rPr>
          <w:rFonts w:ascii="Times New Roman" w:cs="Times New Roman" w:eastAsia="Times New Roman" w:hAnsi="Times New Roman"/>
          <w:b/>
          <w:bCs/>
          <w:sz w:val="24"/>
          <w:szCs w:val="24"/>
        </w:rPr>
        <w:t xml:space="preserve">6.2 Observable Model Refinement</w:t>
      </w:r>
    </w:p>
    <w:p>
      <w:pPr>
        <w:spacing w:after="0" w:before="0" w:line="480"/>
        <w:ind w:firstLine="720"/>
        <w:jc w:val="both"/>
      </w:pPr>
      <w:r>
        <w:rPr>
          <w:rFonts w:ascii="Times New Roman" w:cs="Times New Roman" w:eastAsia="Times New Roman" w:hAnsi="Times New Roman"/>
          <w:sz w:val="24"/>
          <w:szCs w:val="24"/>
        </w:rPr>
        <w:t xml:space="preserve">A distinctive feature of the implementation is Observable Model Refinement (OMR), a procedure by which the system externalizes hypotheses about the learner’s patterns and invites confirmation, disconfirmation, or qualification. After a session, the system surfaces one or two hypotheses (e.g., "After nights of poor sleep, your engagement on focused-reading cards drops; that has happened on three of the last four mornings."). The learner responds with one of three markers (✓ confirmed, ~ partial, ? uncertain), optionally adding a one-line qualification. The marker and qualification are recorded and used to refine the goal vector g, the predictive response model parameters, and the personalized priors for the next session.</w:t>
      </w:r>
    </w:p>
    <w:p>
      <w:pPr>
        <w:spacing w:after="0" w:before="0" w:line="480"/>
        <w:ind w:firstLine="720"/>
        <w:jc w:val="both"/>
      </w:pPr>
      <w:r>
        <w:rPr>
          <w:rFonts w:ascii="Times New Roman" w:cs="Times New Roman" w:eastAsia="Times New Roman" w:hAnsi="Times New Roman"/>
          <w:sz w:val="24"/>
          <w:szCs w:val="24"/>
        </w:rPr>
        <w:t xml:space="preserve">OMR is not an algorithmic component of the EFE selector itself; it is an interface for collecting structured self-reports that update inputs to the selector. We mention it here because it provides a mechanism by which the goal vector g and the response-model parameters are kept current with the learner’s evolving self-understanding—a property that is required if the EFE criterion is to remain meaningful over multi-week intervals. OMR is the subject of a separate technical disclosure (Boston Neuromind, 2026) and is one of two patent candidates emerging from this work (the other being a pre-loaded stem reading protocol for emotional state assessment).</w:t>
      </w:r>
    </w:p>
    <w:p>
      <w:pPr>
        <w:spacing w:after="100" w:before="180" w:line="480"/>
        <w:ind w:firstLine="0"/>
        <w:jc w:val="left"/>
      </w:pPr>
      <w:r>
        <w:rPr>
          <w:rFonts w:ascii="Times New Roman" w:cs="Times New Roman" w:eastAsia="Times New Roman" w:hAnsi="Times New Roman"/>
          <w:b/>
          <w:bCs/>
          <w:sz w:val="24"/>
          <w:szCs w:val="24"/>
        </w:rPr>
        <w:t xml:space="preserve">6.3 Worked Example</w:t>
      </w:r>
    </w:p>
    <w:p>
      <w:pPr>
        <w:spacing w:after="0" w:before="0" w:line="480"/>
        <w:ind w:firstLine="720"/>
        <w:jc w:val="both"/>
      </w:pPr>
      <w:r>
        <w:rPr>
          <w:rFonts w:ascii="Times New Roman" w:cs="Times New Roman" w:eastAsia="Times New Roman" w:hAnsi="Times New Roman"/>
          <w:sz w:val="24"/>
          <w:szCs w:val="24"/>
        </w:rPr>
        <w:t xml:space="preserve">To illustrate selector behavior in a clinically realistic scenario, consider a 38-year-old learner whose intake has identified two goals (sustained attention for work and emotional regulation in family interactions), whose Fischer posteriors place sustained attention at L10 ± 0.5, working memory at L10.5 ± 0.5, emotional regulation at L9.5 ± 0.5, time awareness at L10.0 ± 0.5, and self-cognition at L10.5 ± 0.5. On a Monday morning, the learner’s HRV monitor reports RMSSD = 25 ms, well below their typical resting value of 38 ms; M1 returns γ = 0.32.</w:t>
      </w:r>
    </w:p>
    <w:p>
      <w:pPr>
        <w:spacing w:after="0" w:before="0" w:line="480"/>
        <w:ind w:firstLine="720"/>
        <w:jc w:val="both"/>
      </w:pPr>
      <w:r>
        <w:rPr>
          <w:rFonts w:ascii="Times New Roman" w:cs="Times New Roman" w:eastAsia="Times New Roman" w:hAnsi="Times New Roman"/>
          <w:sz w:val="24"/>
          <w:szCs w:val="24"/>
        </w:rPr>
        <w:t xml:space="preserve">Step 0 detects the low-precision state and applies the lower-difficulty restriction: candidates with difficulty above L10 are filtered out, leaving 78 candidates from the original 150. M2 computes information gain across the remaining candidates; tasks at L10 or L10.5 on emotional regulation and sustained attention (the goal-aligned axes) produce high I values. M3 computes pragmatic value; emotional-regulation candidates score highest (U ≈ 0.85) because the learner has flagged family interactions as an active concern. M4 combines γ · (I + U) and applies the diversity penalty; the system observes that emotional regulation has not been targeted in the past three days and slightly upweights this axis.</w:t>
      </w:r>
    </w:p>
    <w:p>
      <w:pPr>
        <w:spacing w:after="0" w:before="0" w:line="480"/>
        <w:ind w:firstLine="720"/>
        <w:jc w:val="both"/>
      </w:pPr>
      <w:r>
        <w:rPr>
          <w:rFonts w:ascii="Times New Roman" w:cs="Times New Roman" w:eastAsia="Times New Roman" w:hAnsi="Times New Roman"/>
          <w:sz w:val="24"/>
          <w:szCs w:val="24"/>
        </w:rPr>
        <w:t xml:space="preserve">The selected card is a 5-minute paced-breathing exercise (target axis: emotional regulation; difficulty L9.8; expected U = 0.85; expected I = 0.92 nats; G = −0.32 · (0.92 + 0.85) = −0.566). The card is delivered with a brief framing: "Your body is in a slower configuration this morning. Let’s start with breath." The learner completes the card; their post-card HRV rises to RMSSD = 33 ms, and they self-rate their emotion state as moved from "tight" to "settled." The Bayesian update sharpens the emotional-regulation posterior slightly (Q_t now centered at L9.7 with reduced variance). Three days later, when the learner’s morning RMSSD is 45 ms (γ = 0.78), the selector—now operating with high precision and a slightly updated emotional-regulation posterior—selects a more demanding card on the same axis, a level-10 emotion-labeling exercise targeting the family-interaction goal.</w:t>
      </w:r>
    </w:p>
    <w:p>
      <w:pPr>
        <w:spacing w:after="0" w:before="0" w:line="480"/>
        <w:ind w:firstLine="720"/>
        <w:jc w:val="both"/>
      </w:pPr>
      <w:r>
        <w:rPr>
          <w:rFonts w:ascii="Times New Roman" w:cs="Times New Roman" w:eastAsia="Times New Roman" w:hAnsi="Times New Roman"/>
          <w:sz w:val="24"/>
          <w:szCs w:val="24"/>
        </w:rPr>
        <w:t xml:space="preserve">This worked example is one of many possible trajectories. The point of the example is not that any particular card was the "right" choice in some absolute sense (the absolute right choice would require omniscient access to latent learner parameters that the system does not have), but that the selector’s behavior is interpretable: at every step, a clinician inspecting the decision log can see why the algorithm made the choice it did, in terms of three quantities (γ, I, U) that have independent interpretations.</w:t>
      </w:r>
    </w:p>
    <w:p>
      <w:r>
        <w:br w:type="page"/>
      </w:r>
    </w:p>
    <w:p>
      <w:pPr>
        <w:spacing w:after="60" w:before="60"/>
        <w:jc w:val="center"/>
      </w:pPr>
      <w:r>
        <w:drawing>
          <wp:inline distT="0" distB="0" distL="0" distR="0">
            <wp:extent cx="6126480" cy="338409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6126480" cy="3384090"/>
                    </a:xfrm>
                    <a:prstGeom prst="rect">
                      <a:avLst/>
                    </a:prstGeom>
                  </pic:spPr>
                </pic:pic>
              </a:graphicData>
            </a:graphic>
          </wp:inline>
        </w:drawing>
      </w:r>
    </w:p>
    <w:p>
      <w:pPr>
        <w:spacing w:after="60" w:before="180" w:line="360"/>
        <w:ind w:firstLine="0"/>
      </w:pPr>
      <w:r>
        <w:rPr>
          <w:rFonts w:ascii="Times New Roman" w:cs="Times New Roman" w:eastAsia="Times New Roman" w:hAnsi="Times New Roman"/>
          <w:b/>
          <w:bCs/>
          <w:sz w:val="24"/>
          <w:szCs w:val="24"/>
        </w:rPr>
        <w:t xml:space="preserve">Figure 6</w:t>
      </w:r>
    </w:p>
    <w:p>
      <w:pPr>
        <w:spacing w:after="60" w:before="0" w:line="360"/>
        <w:ind w:firstLine="0"/>
      </w:pPr>
      <w:r>
        <w:rPr>
          <w:rFonts w:ascii="Times New Roman" w:cs="Times New Roman" w:eastAsia="Times New Roman" w:hAnsi="Times New Roman"/>
          <w:i/>
          <w:iCs/>
          <w:sz w:val="24"/>
          <w:szCs w:val="24"/>
        </w:rPr>
        <w:t xml:space="preserve">Learning Catcher 9-Loop clinical implementation.</w:t>
      </w:r>
    </w:p>
    <w:p>
      <w:pPr>
        <w:spacing w:after="240" w:before="6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The system is organized into a learner loop (L1–L5, L9, top) and a clinician loop (L6–L8, bottom). Loop 3 (Decide, highlighted) implements the EFE next-task selector developed in this article. Loops 1, 2, and 5 supply inputs to and apply updates from the selector. Loops 6–9 close the clinical-retention cycle.</w:t>
      </w:r>
    </w:p>
    <w:p>
      <w:r>
        <w:br w:type="page"/>
      </w:r>
    </w:p>
    <w:p>
      <w:pPr>
        <w:spacing w:after="120" w:before="240" w:line="480"/>
        <w:ind w:firstLine="0"/>
        <w:jc w:val="center"/>
      </w:pPr>
      <w:r>
        <w:rPr>
          <w:rFonts w:ascii="Times New Roman" w:cs="Times New Roman" w:eastAsia="Times New Roman" w:hAnsi="Times New Roman"/>
          <w:b/>
          <w:bCs/>
          <w:sz w:val="26"/>
          <w:szCs w:val="26"/>
        </w:rPr>
        <w:t xml:space="preserve">7. Discussion</w:t>
      </w:r>
    </w:p>
    <w:p>
      <w:pPr>
        <w:spacing w:after="0" w:before="0" w:line="480"/>
        <w:ind w:firstLine="720"/>
        <w:jc w:val="both"/>
      </w:pPr>
      <w:r>
        <w:rPr>
          <w:rFonts w:ascii="Times New Roman" w:cs="Times New Roman" w:eastAsia="Times New Roman" w:hAnsi="Times New Roman"/>
          <w:sz w:val="24"/>
          <w:szCs w:val="24"/>
        </w:rPr>
        <w:t xml:space="preserve">This article has proposed and evaluated in silico an algorithm for adaptive next-task selection in self-regulated learning, based on the minimization of expected free energy over a candidate library. The algorithm decomposes the selection criterion into three components (precision γ from HRV, information gain I from the Bayesian skill posterior, pragmatic value U from goal alignment), each with an independent measurement basis. On a synthetic cohort of 1,000 learners, the algorithm satisfied each of four pre-specified hypotheses, outperformed three plausible baselines on both engagement and learning, and exhibited expected qualitative behaviors (precision–engagement coupling, inverted-U over information gain, stage-dependent pragmatic–epistemic shift). The remainder of this section discusses theoretical implications, methodological limitations, and the prospective validation roadmap.</w:t>
      </w:r>
    </w:p>
    <w:p>
      <w:pPr>
        <w:spacing w:after="100" w:before="180" w:line="480"/>
        <w:ind w:firstLine="0"/>
        <w:jc w:val="left"/>
      </w:pPr>
      <w:r>
        <w:rPr>
          <w:rFonts w:ascii="Times New Roman" w:cs="Times New Roman" w:eastAsia="Times New Roman" w:hAnsi="Times New Roman"/>
          <w:b/>
          <w:bCs/>
          <w:sz w:val="24"/>
          <w:szCs w:val="24"/>
        </w:rPr>
        <w:t xml:space="preserve">7.1 Theoretical Implications for Self-Regulated Learning</w:t>
      </w:r>
    </w:p>
    <w:p>
      <w:pPr>
        <w:spacing w:after="0" w:before="0" w:line="480"/>
        <w:ind w:firstLine="720"/>
        <w:jc w:val="both"/>
      </w:pPr>
      <w:r>
        <w:rPr>
          <w:rFonts w:ascii="Times New Roman" w:cs="Times New Roman" w:eastAsia="Times New Roman" w:hAnsi="Times New Roman"/>
          <w:sz w:val="24"/>
          <w:szCs w:val="24"/>
        </w:rPr>
        <w:t xml:space="preserve">The principal theoretical claim of this article is modest in scope but, we believe, useful in practice: the next-task selection problem that arises within self-regulated learning admits a single computational criterion—the minimization of expected free energy—that integrates several inputs which have, in the SRL literature, typically been considered separately. Goal setting (Zimmerman, 2000; Latham &amp; Locke, 2007) enters via U. Difficulty calibration (Bjork &amp; Bjork, 2011; Sweller et al., 2019; Wittwer &amp; Renkl, 2010) enters via I. State-dependent regulation (Pekrun, 2019; Brand-Gruwel et al., 2023) enters via γ. Each input has its own measurement basis and its own evidence base. The EFE criterion does not replace these literatures; it provides a structured way of combining their outputs into a single decision.</w:t>
      </w:r>
    </w:p>
    <w:p>
      <w:pPr>
        <w:spacing w:after="0" w:before="0" w:line="480"/>
        <w:ind w:firstLine="720"/>
        <w:jc w:val="both"/>
      </w:pPr>
      <w:r>
        <w:rPr>
          <w:rFonts w:ascii="Times New Roman" w:cs="Times New Roman" w:eastAsia="Times New Roman" w:hAnsi="Times New Roman"/>
          <w:sz w:val="24"/>
          <w:szCs w:val="24"/>
        </w:rPr>
        <w:t xml:space="preserve">A natural question is whether the framework yields theoretical predictions not derivable from the component literatures alone. Two stand out from the in silico results. First, the stage-dependent shift in pragmatic-epistemic weighting (H3) is a quantitative prediction at the computational level that has analogues in developmental theory (Mascolo &amp; Fischer, 2015) but has not, to our knowledge, been formalized algorithmically in the SRL literature. The synthetic experiment shows that this shift emerges naturally from the EFE decomposition rather than requiring stage-specific rules. Second, the diversity-coverage tradeoff (Section 5.5) is a system-level prediction: a selector that maximizes per-decision EFE alone will tend to specialize, and explicit coverage adjustment is required to maintain breadth. This prediction is consistent with empirical findings that adaptive learning systems left to their own devices can produce narrow, specialization-prone learning paths (Aleven et al., 2023).</w:t>
      </w:r>
    </w:p>
    <w:p>
      <w:pPr>
        <w:spacing w:after="100" w:before="180" w:line="480"/>
        <w:ind w:firstLine="0"/>
        <w:jc w:val="left"/>
      </w:pPr>
      <w:r>
        <w:rPr>
          <w:rFonts w:ascii="Times New Roman" w:cs="Times New Roman" w:eastAsia="Times New Roman" w:hAnsi="Times New Roman"/>
          <w:b/>
          <w:bCs/>
          <w:sz w:val="24"/>
          <w:szCs w:val="24"/>
        </w:rPr>
        <w:t xml:space="preserve">7.2 Methodological Limitations</w:t>
      </w:r>
    </w:p>
    <w:p>
      <w:pPr>
        <w:spacing w:after="0" w:before="0" w:line="480"/>
        <w:ind w:firstLine="720"/>
        <w:jc w:val="both"/>
      </w:pPr>
      <w:r>
        <w:rPr>
          <w:rFonts w:ascii="Times New Roman" w:cs="Times New Roman" w:eastAsia="Times New Roman" w:hAnsi="Times New Roman"/>
          <w:sz w:val="24"/>
          <w:szCs w:val="24"/>
        </w:rPr>
        <w:t xml:space="preserve">Several limitations of the present work should be acknowledged. The most consequential is the use of synthetic data. The synthetic cohort was generated from a model that incorporates the structural assumptions the EFE selector is designed to leverage (multi-axis skill posteriors, HRV-precision coupling, goal-task alignment); a strong reading of the synthetic results would risk circularity. We do not take that strong reading. We treat the synthetic findings as falsifiable predictions about the behavior of the algorithm under structurally similar real-world conditions, predictions that will be tested empirically in the prospective phases of the validation roadmap (Section 7.4).</w:t>
      </w:r>
    </w:p>
    <w:p>
      <w:pPr>
        <w:spacing w:after="0" w:before="0" w:line="480"/>
        <w:ind w:firstLine="720"/>
        <w:jc w:val="both"/>
      </w:pPr>
      <w:r>
        <w:rPr>
          <w:rFonts w:ascii="Times New Roman" w:cs="Times New Roman" w:eastAsia="Times New Roman" w:hAnsi="Times New Roman"/>
          <w:sz w:val="24"/>
          <w:szCs w:val="24"/>
        </w:rPr>
        <w:t xml:space="preserve">A second limitation concerns the response model used in the synthetic experiments. We adopted a parametric logistic response model in which acceptance probability is a function of the difference between the learner’s sampled skill level and the task difficulty. This is a serviceable approximation but is not the only plausible response model; nonparametric or hierarchical Bayesian alternatives might yield somewhat different patterns of behavior. We do not believe the qualitative findings reported in Section 5 would change under such alternatives, but quantitative AUC values almost certainly would.</w:t>
      </w:r>
    </w:p>
    <w:p>
      <w:pPr>
        <w:spacing w:after="0" w:before="0" w:line="480"/>
        <w:ind w:firstLine="720"/>
        <w:jc w:val="both"/>
      </w:pPr>
      <w:r>
        <w:rPr>
          <w:rFonts w:ascii="Times New Roman" w:cs="Times New Roman" w:eastAsia="Times New Roman" w:hAnsi="Times New Roman"/>
          <w:sz w:val="24"/>
          <w:szCs w:val="24"/>
        </w:rPr>
        <w:t xml:space="preserve">A third limitation concerns the candidate library. The library used in our experiments contained 150 tasks with clinician-curated metadata. Larger libraries with less curation, or smaller libraries with more curation, would behave differently in ways not characterized here. The algorithm’s O(N) complexity permits libraries of practical clinical size without performance penalty, but library design itself is an art that the algorithm does not optimize.</w:t>
      </w:r>
    </w:p>
    <w:p>
      <w:pPr>
        <w:spacing w:after="0" w:before="0" w:line="480"/>
        <w:ind w:firstLine="720"/>
        <w:jc w:val="both"/>
      </w:pPr>
      <w:r>
        <w:rPr>
          <w:rFonts w:ascii="Times New Roman" w:cs="Times New Roman" w:eastAsia="Times New Roman" w:hAnsi="Times New Roman"/>
          <w:sz w:val="24"/>
          <w:szCs w:val="24"/>
        </w:rPr>
        <w:t xml:space="preserve">A fourth limitation concerns the developmental scope. The framework as specified is applicable to adult learners (Fischer levels 7–13). Application to pediatric populations would require both an expanded skill posterior (covering lower Fischer levels) and developmentally appropriate task libraries. Such an extension is in principle straightforward but raises substantive questions—about pediatric goal elicitation, age-appropriate HRV norms, and parent-or-clinician-mediated goal setting—that are outside the scope of this article.</w:t>
      </w:r>
    </w:p>
    <w:p>
      <w:pPr>
        <w:spacing w:after="0" w:before="0" w:line="480"/>
        <w:ind w:firstLine="720"/>
        <w:jc w:val="both"/>
      </w:pPr>
      <w:r>
        <w:rPr>
          <w:rFonts w:ascii="Times New Roman" w:cs="Times New Roman" w:eastAsia="Times New Roman" w:hAnsi="Times New Roman"/>
          <w:sz w:val="24"/>
          <w:szCs w:val="24"/>
        </w:rPr>
        <w:t xml:space="preserve">A fifth limitation, more theoretical, concerns the assumption that EFE minimization is the right computational criterion. We have argued in Section 1.2 that EFE is a natural fit for the next-task selection problem in clinical SRL, but a competing argument could be made that other criteria—maximizing expected outcome utility under a Bayesian posterior, minimizing decision-theoretic regret, optimizing a constrained information acquisition criterion—would yield comparable or superior results. We have not exhaustively compared EFE against all of these alternatives. The baselines evaluated in H4 represent the practical contenders most often used in adaptive learning, but a more thorough computational comparison is a direction for future work.</w:t>
      </w:r>
    </w:p>
    <w:p>
      <w:pPr>
        <w:spacing w:after="100" w:before="180" w:line="480"/>
        <w:ind w:firstLine="0"/>
        <w:jc w:val="left"/>
      </w:pPr>
      <w:r>
        <w:rPr>
          <w:rFonts w:ascii="Times New Roman" w:cs="Times New Roman" w:eastAsia="Times New Roman" w:hAnsi="Times New Roman"/>
          <w:b/>
          <w:bCs/>
          <w:sz w:val="24"/>
          <w:szCs w:val="24"/>
        </w:rPr>
        <w:t xml:space="preserve">7.3 Relation to Prior Work</w:t>
      </w:r>
    </w:p>
    <w:p>
      <w:pPr>
        <w:spacing w:after="0" w:before="0" w:line="480"/>
        <w:ind w:firstLine="720"/>
        <w:jc w:val="both"/>
      </w:pPr>
      <w:r>
        <w:rPr>
          <w:rFonts w:ascii="Times New Roman" w:cs="Times New Roman" w:eastAsia="Times New Roman" w:hAnsi="Times New Roman"/>
          <w:sz w:val="24"/>
          <w:szCs w:val="24"/>
        </w:rPr>
        <w:t xml:space="preserve">The proposal made here builds on several distinct literatures. The Active Inference literature provides the formal machinery of EFE and the precision parameter (Friston et al., 2017; Smith et al., 2022; Parr et al., 2022). Recent work on hierarchical Active Inference (Pezzulo et al., 2018) and computational psychiatry (Schwartenbeck &amp; Friston, 2016; Stephan et al., 2017; Hess et al., 2025) provides bridges between abstract formalism and clinical decision support. The dynamic skill theory literature (Fischer &amp; Bidell, 2006; Mascolo &amp; Fischer, 2015) provides the developmental hierarchy that anchors our skill posterior. The polyvagal literature (Porges, 2007; 2021; Sevoz-Couche &amp; Laborde, 2022; Smith et al., 2017) provides the physiological grounding for γ. The self-regulated learning literature (Zimmerman, 2000; Panadero, 2017; Schwinger et al., 2020; Theobald, 2021) provides the conceptual framework into which the algorithmic specification is embedded.</w:t>
      </w:r>
    </w:p>
    <w:p>
      <w:pPr>
        <w:spacing w:after="0" w:before="0" w:line="480"/>
        <w:ind w:firstLine="720"/>
        <w:jc w:val="both"/>
      </w:pPr>
      <w:r>
        <w:rPr>
          <w:rFonts w:ascii="Times New Roman" w:cs="Times New Roman" w:eastAsia="Times New Roman" w:hAnsi="Times New Roman"/>
          <w:sz w:val="24"/>
          <w:szCs w:val="24"/>
        </w:rPr>
        <w:t xml:space="preserve">Several recent papers approach similar problems from adjacent angles. Bassen et al. (2020) applied contextual bandits to educational sequencing without an explicit developmental component. Aleven et al. (2023) reviewed AI-enhanced intelligent tutoring with a focus on dialogue rather than decision criteria. Kasneci et al. (2023) discussed the prospects of large language models in education at a high level. Bayesian models of adaptive instruction have been explored in domain-specific settings (Khajah et al., 2014; Lindsey et al., 2014; Reddy et al., 2024). What distinguishes the present proposal is the explicit decomposition into γ, I, and U as a single computational criterion, the linkage of γ to a measurable physiological correlate, and the developmental grounding via DST. We do not claim originality for any single component; the contribution is in the integration.</w:t>
      </w:r>
    </w:p>
    <w:p>
      <w:pPr>
        <w:spacing w:after="100" w:before="180" w:line="480"/>
        <w:ind w:firstLine="0"/>
        <w:jc w:val="left"/>
      </w:pPr>
      <w:r>
        <w:rPr>
          <w:rFonts w:ascii="Times New Roman" w:cs="Times New Roman" w:eastAsia="Times New Roman" w:hAnsi="Times New Roman"/>
          <w:b/>
          <w:bCs/>
          <w:sz w:val="24"/>
          <w:szCs w:val="24"/>
        </w:rPr>
        <w:t xml:space="preserve">7.4 Prospective Validation Roadmap</w:t>
      </w:r>
    </w:p>
    <w:p>
      <w:pPr>
        <w:spacing w:after="0" w:before="0" w:line="480"/>
        <w:ind w:firstLine="720"/>
        <w:jc w:val="both"/>
      </w:pPr>
      <w:r>
        <w:rPr>
          <w:rFonts w:ascii="Times New Roman" w:cs="Times New Roman" w:eastAsia="Times New Roman" w:hAnsi="Times New Roman"/>
          <w:sz w:val="24"/>
          <w:szCs w:val="24"/>
        </w:rPr>
        <w:t xml:space="preserve">The in silico results presented in Section 5 are testable predictions, not empirical claims about human learners. The validation roadmap below progressively tests these predictions against real-world data across four phases.</w:t>
      </w:r>
    </w:p>
    <w:p>
      <w:pPr>
        <w:spacing w:after="0" w:before="0" w:line="480"/>
        <w:ind w:firstLine="720"/>
        <w:jc w:val="both"/>
      </w:pPr>
      <w:r>
        <w:rPr>
          <w:rFonts w:ascii="Times New Roman" w:cs="Times New Roman" w:eastAsia="Times New Roman" w:hAnsi="Times New Roman"/>
          <w:sz w:val="24"/>
          <w:szCs w:val="24"/>
        </w:rPr>
        <w:t xml:space="preserve">Phase 1 (this paper): In silico evaluation on a synthetic cohort (N = 1,000) yielding falsifiable predictions about algorithm behavior. Status: complete.</w:t>
      </w:r>
    </w:p>
    <w:p>
      <w:pPr>
        <w:spacing w:after="0" w:before="0" w:line="480"/>
        <w:ind w:firstLine="720"/>
        <w:jc w:val="both"/>
      </w:pPr>
      <w:r>
        <w:rPr>
          <w:rFonts w:ascii="Times New Roman" w:cs="Times New Roman" w:eastAsia="Times New Roman" w:hAnsi="Times New Roman"/>
          <w:sz w:val="24"/>
          <w:szCs w:val="24"/>
        </w:rPr>
        <w:t xml:space="preserve">Phase 2 (initiated 22 May 2026): Case series (N = 5 adult learners) with single-case experimental designs (ABA reversal across 8 weeks). Primary outcomes: feasibility (recruitment, retention, system uptime), preliminary effect sizes (within-person Fischer level change, RMSSD-engagement correlation), and qualitative feedback from supervising clinicians. Status: in progress; first session 22 May 2026.</w:t>
      </w:r>
    </w:p>
    <w:p>
      <w:pPr>
        <w:spacing w:after="0" w:before="0" w:line="480"/>
        <w:ind w:firstLine="720"/>
        <w:jc w:val="both"/>
      </w:pPr>
      <w:r>
        <w:rPr>
          <w:rFonts w:ascii="Times New Roman" w:cs="Times New Roman" w:eastAsia="Times New Roman" w:hAnsi="Times New Roman"/>
          <w:sz w:val="24"/>
          <w:szCs w:val="24"/>
        </w:rPr>
        <w:t xml:space="preserve">Phase 3 (M6–M12): Prospective cohort (N = 200) with multi-site enrollment under IRB review and blinded clinician raters for Fischer-level estimation. Primary outcomes: per-person engagement and learning AUC against the synthetic predictions reported in Section 5; secondary outcomes: cross-site reliability, clinician satisfaction, adverse events. The cohort will be sized to detect a 0.10 reduction in AUC from the synthetic estimate with 80% power at α = .05.</w:t>
      </w:r>
    </w:p>
    <w:p>
      <w:pPr>
        <w:spacing w:after="0" w:before="0" w:line="480"/>
        <w:ind w:firstLine="720"/>
        <w:jc w:val="both"/>
      </w:pPr>
      <w:r>
        <w:rPr>
          <w:rFonts w:ascii="Times New Roman" w:cs="Times New Roman" w:eastAsia="Times New Roman" w:hAnsi="Times New Roman"/>
          <w:sz w:val="24"/>
          <w:szCs w:val="24"/>
        </w:rPr>
        <w:t xml:space="preserve">Phase 4 (M12–M24): Randomized controlled trial (N = 400) comparing EFE-based adaptive selection against a strong clinical baseline (rule-based clinician-curated sequencing) on a primary outcome of Fischer-level transition rate at 12 weeks, with secondary outcomes including engagement, retention, and quality-of-life self-report. The trial will be pre-registered, with the analysis plan published prior to outcome assessment.</w:t>
      </w:r>
    </w:p>
    <w:p>
      <w:pPr>
        <w:spacing w:after="0" w:before="0" w:line="480"/>
        <w:ind w:firstLine="720"/>
        <w:jc w:val="both"/>
      </w:pPr>
      <w:r>
        <w:rPr>
          <w:rFonts w:ascii="Times New Roman" w:cs="Times New Roman" w:eastAsia="Times New Roman" w:hAnsi="Times New Roman"/>
          <w:sz w:val="24"/>
          <w:szCs w:val="24"/>
        </w:rPr>
        <w:t xml:space="preserve">A separate validation track concerns the precision–HRV mapping itself. We have used a sigmoid of standardized RMSSD as a simple, transparent specification of γ from HRV. The validity of this specification can be tested independently by examining how well the resulting γ predicts within-session engagement decisions across diverse clinical populations. A parallel study using ambulatory HRV monitors and ecological momentary assessment is in design.</w:t>
      </w:r>
    </w:p>
    <w:p>
      <w:pPr>
        <w:spacing w:after="100" w:before="180" w:line="480"/>
        <w:ind w:firstLine="0"/>
        <w:jc w:val="left"/>
      </w:pPr>
      <w:r>
        <w:rPr>
          <w:rFonts w:ascii="Times New Roman" w:cs="Times New Roman" w:eastAsia="Times New Roman" w:hAnsi="Times New Roman"/>
          <w:b/>
          <w:bCs/>
          <w:sz w:val="24"/>
          <w:szCs w:val="24"/>
        </w:rPr>
        <w:t xml:space="preserve">7.5 Implications for Clinical Decision Support</w:t>
      </w:r>
    </w:p>
    <w:p>
      <w:pPr>
        <w:spacing w:after="0" w:before="0" w:line="480"/>
        <w:ind w:firstLine="720"/>
        <w:jc w:val="both"/>
      </w:pPr>
      <w:r>
        <w:rPr>
          <w:rFonts w:ascii="Times New Roman" w:cs="Times New Roman" w:eastAsia="Times New Roman" w:hAnsi="Times New Roman"/>
          <w:sz w:val="24"/>
          <w:szCs w:val="24"/>
        </w:rPr>
        <w:t xml:space="preserve">From a clinical-decision-support perspective, the EFE selector offers three properties that may be of practical use. First, the decision log it produces is interpretable: at each step, a clinician can ask why the algorithm chose what it chose and receive an answer in terms of three quantities with independent interpretations. This contrasts with neural-network-based recommendation systems whose decisions are not readily explainable. Second, the selector is auditable: the contribution of γ, I, and U to each decision can be inspected, and counterfactual decisions (what would have been chosen under a different γ?) can be computed. Third, the selector’s safety envelope (Step 0) is policy-configurable rather than learned, which permits clinicians to specify hard constraints that are honored by the system regardless of the underlying scoring function.</w:t>
      </w:r>
    </w:p>
    <w:p>
      <w:pPr>
        <w:spacing w:after="0" w:before="0" w:line="480"/>
        <w:ind w:firstLine="720"/>
        <w:jc w:val="both"/>
      </w:pPr>
      <w:r>
        <w:rPr>
          <w:rFonts w:ascii="Times New Roman" w:cs="Times New Roman" w:eastAsia="Times New Roman" w:hAnsi="Times New Roman"/>
          <w:sz w:val="24"/>
          <w:szCs w:val="24"/>
        </w:rPr>
        <w:t xml:space="preserve">These properties matter because clinical-decision-support systems have a poor track record of adoption when their decisions are opaque (Sittig &amp; Singh, 2019; Sutton et al., 2020). The selector developed here is designed to be explained, audited, and policy-configured—properties that are not always present in adaptive learning systems but that are, we suspect, prerequisites for sustained clinical use.</w:t>
      </w:r>
    </w:p>
    <w:p>
      <w:pPr>
        <w:spacing w:after="100" w:before="180" w:line="480"/>
        <w:ind w:firstLine="0"/>
        <w:jc w:val="left"/>
      </w:pPr>
      <w:r>
        <w:rPr>
          <w:rFonts w:ascii="Times New Roman" w:cs="Times New Roman" w:eastAsia="Times New Roman" w:hAnsi="Times New Roman"/>
          <w:b/>
          <w:bCs/>
          <w:sz w:val="24"/>
          <w:szCs w:val="24"/>
        </w:rPr>
        <w:t xml:space="preserve">7.6 Ethical and Methodological Considerations</w:t>
      </w:r>
    </w:p>
    <w:p>
      <w:pPr>
        <w:spacing w:after="0" w:before="0" w:line="480"/>
        <w:ind w:firstLine="720"/>
        <w:jc w:val="both"/>
      </w:pPr>
      <w:r>
        <w:rPr>
          <w:rFonts w:ascii="Times New Roman" w:cs="Times New Roman" w:eastAsia="Times New Roman" w:hAnsi="Times New Roman"/>
          <w:sz w:val="24"/>
          <w:szCs w:val="24"/>
        </w:rPr>
        <w:t xml:space="preserve">Several ethical considerations attend the deployment of any algorithm that influences what a learner does next. First, the candidate library and the goal vector together constrain the universe of possible recommendations. A library that systematically under-represents certain skills, or a goal-elicitation procedure that systematically misreads certain learner preferences, will produce systematically biased outputs even if the EFE computation is faithful. Second, the precision parameter γ is computed from HRV, which itself is sensitive to ambient temperature, recent activity, medication use, and time of day; misattribution of these influences to "regulation state" could lead to inappropriate restriction of admissible tasks. Third, the system as a whole operates within a clinical scope (BCN-level and PhD-level coaching/training/wellness, under appropriate supervision) and does not constitute medical diagnosis or treatment. These considerations are addressed in the system’s operating policies and clinical training but are not algorithmic guarantees.</w:t>
      </w:r>
    </w:p>
    <w:p>
      <w:pPr>
        <w:spacing w:after="0" w:before="0" w:line="480"/>
        <w:ind w:firstLine="720"/>
        <w:jc w:val="both"/>
      </w:pPr>
      <w:r>
        <w:rPr>
          <w:rFonts w:ascii="Times New Roman" w:cs="Times New Roman" w:eastAsia="Times New Roman" w:hAnsi="Times New Roman"/>
          <w:sz w:val="24"/>
          <w:szCs w:val="24"/>
        </w:rPr>
        <w:t xml:space="preserve">More broadly, the framework should not be read as endorsing a purely algorithmic approach to clinical work. The selector is a decision-support tool. Final responsibility for what a learner is asked to do next rests with the supervising clinician, who has access to information the system does not (the learner’s tone of voice, their facial expression, their off-system life circumstances). The system’s value is not in replacing clinical judgment but in making the routine portions of clinical sequencing more consistent and more inspectable.</w:t>
      </w:r>
    </w:p>
    <w:p>
      <w:r>
        <w:br w:type="page"/>
      </w:r>
    </w:p>
    <w:p>
      <w:pPr>
        <w:spacing w:after="60" w:before="60"/>
        <w:jc w:val="center"/>
      </w:pPr>
      <w:r>
        <w:drawing>
          <wp:inline distT="0" distB="0" distL="0" distR="0">
            <wp:extent cx="5943600" cy="253221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43600" cy="2532218"/>
                    </a:xfrm>
                    <a:prstGeom prst="rect">
                      <a:avLst/>
                    </a:prstGeom>
                  </pic:spPr>
                </pic:pic>
              </a:graphicData>
            </a:graphic>
          </wp:inline>
        </w:drawing>
      </w:r>
    </w:p>
    <w:p>
      <w:pPr>
        <w:spacing w:after="60" w:before="180" w:line="360"/>
        <w:ind w:firstLine="0"/>
      </w:pPr>
      <w:r>
        <w:rPr>
          <w:rFonts w:ascii="Times New Roman" w:cs="Times New Roman" w:eastAsia="Times New Roman" w:hAnsi="Times New Roman"/>
          <w:b/>
          <w:bCs/>
          <w:sz w:val="24"/>
          <w:szCs w:val="24"/>
        </w:rPr>
        <w:t xml:space="preserve">Figure 5</w:t>
      </w:r>
    </w:p>
    <w:p>
      <w:pPr>
        <w:spacing w:after="60" w:before="0" w:line="360"/>
        <w:ind w:firstLine="0"/>
      </w:pPr>
      <w:r>
        <w:rPr>
          <w:rFonts w:ascii="Times New Roman" w:cs="Times New Roman" w:eastAsia="Times New Roman" w:hAnsi="Times New Roman"/>
          <w:i/>
          <w:iCs/>
          <w:sz w:val="24"/>
          <w:szCs w:val="24"/>
        </w:rPr>
        <w:t xml:space="preserve">Four-phase validation roadmap.</w:t>
      </w:r>
    </w:p>
    <w:p>
      <w:pPr>
        <w:spacing w:after="240" w:before="6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Phase 1 (in silico, this paper) generates falsifiable predictions. Phase 2 (case series, N = 5; initiated 22 May 2026) tests feasibility and within-person effect sizes. Phase 3 (prospective cohort, N = 200) tests group-level validity at multiple sites. Phase 4 (RCT, N = 400) tests causal efficacy against a strong clinical baseline.</w:t>
      </w:r>
    </w:p>
    <w:p>
      <w:r>
        <w:br w:type="page"/>
      </w:r>
    </w:p>
    <w:p>
      <w:pPr>
        <w:spacing w:after="60" w:before="240" w:line="360"/>
        <w:ind w:firstLine="0"/>
      </w:pPr>
      <w:r>
        <w:rPr>
          <w:rFonts w:ascii="Times New Roman" w:cs="Times New Roman" w:eastAsia="Times New Roman" w:hAnsi="Times New Roman"/>
          <w:b/>
          <w:bCs/>
          <w:sz w:val="24"/>
          <w:szCs w:val="24"/>
        </w:rPr>
        <w:t xml:space="preserve">Table 6</w:t>
      </w:r>
    </w:p>
    <w:p>
      <w:pPr>
        <w:spacing w:after="120" w:before="0" w:line="360"/>
        <w:ind w:firstLine="0"/>
      </w:pPr>
      <w:r>
        <w:rPr>
          <w:rFonts w:ascii="Times New Roman" w:cs="Times New Roman" w:eastAsia="Times New Roman" w:hAnsi="Times New Roman"/>
          <w:i/>
          <w:iCs/>
          <w:sz w:val="24"/>
          <w:szCs w:val="24"/>
        </w:rPr>
        <w:t xml:space="preserve">Validation Roadmap: Phases, Cohorts, and Outcomes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1500"/>
        <w:gridCol w:w="1300"/>
        <w:gridCol w:w="2600"/>
        <w:gridCol w:w="2460"/>
      </w:tblGrid>
      <w:tr>
        <w:trPr>
          <w:tblHeader/>
        </w:trPr>
        <w:tc>
          <w:tcPr>
            <w:tcW w:type="dxa" w:w="15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Phase</w:t>
            </w:r>
          </w:p>
        </w:tc>
        <w:tc>
          <w:tcPr>
            <w:tcW w:type="dxa" w:w="15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Design</w:t>
            </w:r>
          </w:p>
        </w:tc>
        <w:tc>
          <w:tcPr>
            <w:tcW w:type="dxa" w:w="13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N</w:t>
            </w:r>
          </w:p>
        </w:tc>
        <w:tc>
          <w:tcPr>
            <w:tcW w:type="dxa" w:w="260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Primary outcomes</w:t>
            </w:r>
          </w:p>
        </w:tc>
        <w:tc>
          <w:tcPr>
            <w:tcW w:type="dxa" w:w="2460"/>
            <w:tcBorders>
              <w:top w:val="single" w:color="888888" w:sz="4"/>
              <w:left w:val="single" w:color="888888" w:sz="4"/>
              <w:bottom w:val="single" w:color="888888" w:sz="4"/>
              <w:right w:val="single" w:color="888888" w:sz="4"/>
            </w:tcBorders>
            <w:shd w:fill="D5E8F0"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b/>
                <w:bCs/>
                <w:sz w:val="20"/>
                <w:szCs w:val="20"/>
              </w:rPr>
              <w:t xml:space="preserve">Timeline</w:t>
            </w:r>
          </w:p>
        </w:tc>
      </w:tr>
      <w:tr>
        <w:tc>
          <w:tcPr>
            <w:tcW w:type="dxa" w:w="15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1. In silico</w:t>
            </w:r>
          </w:p>
        </w:tc>
        <w:tc>
          <w:tcPr>
            <w:tcW w:type="dxa" w:w="15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Synthetic cohort, four pre-specified hypotheses</w:t>
            </w:r>
          </w:p>
        </w:tc>
        <w:tc>
          <w:tcPr>
            <w:tcW w:type="dxa" w:w="13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1,000</w:t>
            </w:r>
          </w:p>
        </w:tc>
        <w:tc>
          <w:tcPr>
            <w:tcW w:type="dxa" w:w="26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Engagement AUC, learning AUC, stage-dependent decomposition</w:t>
            </w:r>
          </w:p>
        </w:tc>
        <w:tc>
          <w:tcPr>
            <w:tcW w:type="dxa" w:w="246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Complete (this paper)</w:t>
            </w:r>
          </w:p>
        </w:tc>
      </w:tr>
      <w:tr>
        <w:tc>
          <w:tcPr>
            <w:tcW w:type="dxa" w:w="15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2. Case series</w:t>
            </w:r>
          </w:p>
        </w:tc>
        <w:tc>
          <w:tcPr>
            <w:tcW w:type="dxa" w:w="15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Single-case experimental design (ABA)</w:t>
            </w:r>
          </w:p>
        </w:tc>
        <w:tc>
          <w:tcPr>
            <w:tcW w:type="dxa" w:w="13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5</w:t>
            </w:r>
          </w:p>
        </w:tc>
        <w:tc>
          <w:tcPr>
            <w:tcW w:type="dxa" w:w="26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Feasibility, within-person Fischer change, RMSSD–engagement correlation</w:t>
            </w:r>
          </w:p>
        </w:tc>
        <w:tc>
          <w:tcPr>
            <w:tcW w:type="dxa" w:w="246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Initiated 22 May 2026</w:t>
            </w:r>
          </w:p>
        </w:tc>
      </w:tr>
      <w:tr>
        <w:tc>
          <w:tcPr>
            <w:tcW w:type="dxa" w:w="15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3. Cohort</w:t>
            </w:r>
          </w:p>
        </w:tc>
        <w:tc>
          <w:tcPr>
            <w:tcW w:type="dxa" w:w="15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Prospective, multi-site, blinded raters</w:t>
            </w:r>
          </w:p>
        </w:tc>
        <w:tc>
          <w:tcPr>
            <w:tcW w:type="dxa" w:w="13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200</w:t>
            </w:r>
          </w:p>
        </w:tc>
        <w:tc>
          <w:tcPr>
            <w:tcW w:type="dxa" w:w="260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Per-person engagement AUC, learning AUC, cross-site reliability</w:t>
            </w:r>
          </w:p>
        </w:tc>
        <w:tc>
          <w:tcPr>
            <w:tcW w:type="dxa" w:w="2460"/>
            <w:tcBorders>
              <w:top w:val="single" w:color="888888" w:sz="4"/>
              <w:left w:val="single" w:color="888888" w:sz="4"/>
              <w:bottom w:val="single" w:color="888888" w:sz="4"/>
              <w:right w:val="single" w:color="888888" w:sz="4"/>
            </w:tcBorders>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M6–M12</w:t>
            </w:r>
          </w:p>
        </w:tc>
      </w:tr>
      <w:tr>
        <w:tc>
          <w:tcPr>
            <w:tcW w:type="dxa" w:w="15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b/>
                <w:bCs/>
                <w:sz w:val="20"/>
                <w:szCs w:val="20"/>
              </w:rPr>
              <w:t xml:space="preserve">4. RCT</w:t>
            </w:r>
          </w:p>
        </w:tc>
        <w:tc>
          <w:tcPr>
            <w:tcW w:type="dxa" w:w="15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Randomized trial vs. rule-based selection</w:t>
            </w:r>
          </w:p>
        </w:tc>
        <w:tc>
          <w:tcPr>
            <w:tcW w:type="dxa" w:w="13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center"/>
            </w:pPr>
            <w:r>
              <w:rPr>
                <w:rFonts w:ascii="Times New Roman" w:cs="Times New Roman" w:eastAsia="Times New Roman" w:hAnsi="Times New Roman"/>
                <w:sz w:val="20"/>
                <w:szCs w:val="20"/>
              </w:rPr>
              <w:t xml:space="preserve">400</w:t>
            </w:r>
          </w:p>
        </w:tc>
        <w:tc>
          <w:tcPr>
            <w:tcW w:type="dxa" w:w="260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Fischer-level transition rate at 12 weeks; engagement, retention, QoL</w:t>
            </w:r>
          </w:p>
        </w:tc>
        <w:tc>
          <w:tcPr>
            <w:tcW w:type="dxa" w:w="2460"/>
            <w:tcBorders>
              <w:top w:val="single" w:color="888888" w:sz="4"/>
              <w:left w:val="single" w:color="888888" w:sz="4"/>
              <w:bottom w:val="single" w:color="888888" w:sz="4"/>
              <w:right w:val="single" w:color="888888" w:sz="4"/>
            </w:tcBorders>
            <w:shd w:fill="F4F9FC" w:color="auto" w:val="clear"/>
            <w:tcMar>
              <w:top w:type="dxa" w:w="80"/>
              <w:left w:type="dxa" w:w="120"/>
              <w:bottom w:type="dxa" w:w="80"/>
              <w:right w:type="dxa" w:w="120"/>
            </w:tcMar>
          </w:tcPr>
          <w:p>
            <w:pPr>
              <w:spacing w:after="60" w:before="60" w:line="240"/>
              <w:jc w:val="left"/>
            </w:pPr>
            <w:r>
              <w:rPr>
                <w:rFonts w:ascii="Times New Roman" w:cs="Times New Roman" w:eastAsia="Times New Roman" w:hAnsi="Times New Roman"/>
                <w:sz w:val="20"/>
                <w:szCs w:val="20"/>
              </w:rPr>
              <w:t xml:space="preserve">M12–M24</w:t>
            </w:r>
          </w:p>
        </w:tc>
      </w:tr>
    </w:tbl>
    <w:p>
      <w:pPr>
        <w:spacing w:after="240" w:before="100" w:line="280"/>
        <w:ind w:firstLine="0"/>
        <w:jc w:val="left"/>
      </w:pPr>
      <w:r>
        <w:rPr>
          <w:rFonts w:ascii="Times New Roman" w:cs="Times New Roman" w:eastAsia="Times New Roman" w:hAnsi="Times New Roman"/>
          <w:i/>
          <w:iCs/>
          <w:sz w:val="18"/>
          <w:szCs w:val="18"/>
        </w:rPr>
        <w:t xml:space="preserve">Note. </w:t>
      </w:r>
      <w:r>
        <w:rPr>
          <w:rFonts w:ascii="Times New Roman" w:cs="Times New Roman" w:eastAsia="Times New Roman" w:hAnsi="Times New Roman"/>
          <w:sz w:val="18"/>
          <w:szCs w:val="18"/>
        </w:rPr>
        <w:t xml:space="preserve">QoL = quality of life. Phase 1 generates falsifiable predictions; Phases 2–4 progressively test those predictions in human learners. Phase 2 follows the case-series guidance of Tate et al. (2016) and the Single-Case Reporting Guideline (SCRIBE). Phases 3 and 4 will be pre-registered with full analysis plans deposited prior to outcome assessment.</w:t>
      </w:r>
    </w:p>
    <w:p>
      <w:r>
        <w:br w:type="page"/>
      </w:r>
    </w:p>
    <w:p>
      <w:pPr>
        <w:spacing w:after="120" w:before="240" w:line="480"/>
        <w:ind w:firstLine="0"/>
        <w:jc w:val="center"/>
      </w:pPr>
      <w:r>
        <w:rPr>
          <w:rFonts w:ascii="Times New Roman" w:cs="Times New Roman" w:eastAsia="Times New Roman" w:hAnsi="Times New Roman"/>
          <w:b/>
          <w:bCs/>
          <w:sz w:val="26"/>
          <w:szCs w:val="26"/>
        </w:rPr>
        <w:t xml:space="preserve">8. Conclusion</w:t>
      </w:r>
    </w:p>
    <w:p>
      <w:pPr>
        <w:spacing w:after="0" w:before="0" w:line="480"/>
        <w:ind w:firstLine="720"/>
        <w:jc w:val="both"/>
      </w:pPr>
      <w:r>
        <w:rPr>
          <w:rFonts w:ascii="Times New Roman" w:cs="Times New Roman" w:eastAsia="Times New Roman" w:hAnsi="Times New Roman"/>
          <w:sz w:val="24"/>
          <w:szCs w:val="24"/>
        </w:rPr>
        <w:t xml:space="preserve">Adaptive learning systems make a sequence of small decisions: at each interaction, given the state of the learner and the available library, which task should be delivered next? This article has proposed that the minimization of expected free energy provides a single, principled, falsifiable criterion for that decision, with three components (precision γ from HRV, expected information gain I from the Bayesian skill posterior, and pragmatic value U from goal–task alignment) that each have an independent measurement basis. We have specified the algorithm in full, evaluated it in silico on a synthetic cohort of 1,000 learners against three baselines, and reported that the algorithm satisfies four pre-specified hypotheses about its behavior, with engagement AUC of 0.86 and learning AUC of 0.81, exceeding each baseline by at least 0.15 AUC on both outcomes.</w:t>
      </w:r>
    </w:p>
    <w:p>
      <w:pPr>
        <w:spacing w:after="0" w:before="0" w:line="480"/>
        <w:ind w:firstLine="720"/>
        <w:jc w:val="both"/>
      </w:pPr>
      <w:r>
        <w:rPr>
          <w:rFonts w:ascii="Times New Roman" w:cs="Times New Roman" w:eastAsia="Times New Roman" w:hAnsi="Times New Roman"/>
          <w:sz w:val="24"/>
          <w:szCs w:val="24"/>
        </w:rPr>
        <w:t xml:space="preserve">These results are predictions, not findings about human learners. Their value lies in being falsifiable: the prospective validation roadmap will test, in real learners, whether the patterns observed in synthetic cohorts hold. The case series initiated on 22 May 2026 is the first step in that progression. If the predictions are confirmed, the framework will provide a foundation for clinical decision-support tools that are interpretable, auditable, and developmentally grounded. If the predictions are refuted, the framework will need revision; we have tried to specify it in a way that makes the locus of any disconfirmation visible. Either outcome is informative.</w:t>
      </w:r>
    </w:p>
    <w:p>
      <w:pPr>
        <w:spacing w:after="0" w:before="0" w:line="480"/>
        <w:ind w:firstLine="720"/>
        <w:jc w:val="both"/>
      </w:pPr>
      <w:r>
        <w:rPr>
          <w:rFonts w:ascii="Times New Roman" w:cs="Times New Roman" w:eastAsia="Times New Roman" w:hAnsi="Times New Roman"/>
          <w:sz w:val="24"/>
          <w:szCs w:val="24"/>
        </w:rPr>
        <w:t xml:space="preserve">More broadly, we hope this article contributes to a small but growing intersection of computational neuroscience, developmental psychology, and clinical decision support. The intersection is not currently well-populated; the Active Inference literature tends to remain at the formalism level, the developmental literature tends to remain qualitative, and the clinical decision-support literature tends to remain agnostic about the underlying generative processes. We see room, between these literatures, for an applied program of research in which the formal precision of computational neuroscience is brought to bear on problems whose practical importance is established by developmental and clinical work. The proposal made here is one such bridge. Many more will be needed.</w:t>
      </w:r>
    </w:p>
    <w:p>
      <w:r>
        <w:br w:type="page"/>
      </w:r>
    </w:p>
    <w:p>
      <w:pPr>
        <w:spacing w:after="120" w:before="240" w:line="480"/>
        <w:ind w:firstLine="0"/>
        <w:jc w:val="center"/>
      </w:pPr>
      <w:r>
        <w:rPr>
          <w:rFonts w:ascii="Times New Roman" w:cs="Times New Roman" w:eastAsia="Times New Roman" w:hAnsi="Times New Roman"/>
          <w:b/>
          <w:bCs/>
          <w:sz w:val="26"/>
          <w:szCs w:val="26"/>
        </w:rPr>
        <w:t xml:space="preserve">Acknowledgments</w:t>
      </w:r>
    </w:p>
    <w:p>
      <w:pPr>
        <w:spacing w:after="0" w:before="0" w:line="480"/>
        <w:ind w:firstLine="720"/>
        <w:jc w:val="both"/>
      </w:pPr>
      <w:r>
        <w:rPr>
          <w:rFonts w:ascii="Times New Roman" w:cs="Times New Roman" w:eastAsia="Times New Roman" w:hAnsi="Times New Roman"/>
          <w:sz w:val="24"/>
          <w:szCs w:val="24"/>
        </w:rPr>
        <w:t xml:space="preserve">I gratefully acknowledge the late Professor Kurt W. Fischer (1943–2020) of Harvard Graduate School of Education, whose Dynamic Skill Theory provided the developmental scaffold for this work and whose direct mentorship during my Visiting Scholar appointment (2018–2020) shaped my thinking about skill, stage, and the contextual variability of human capability. The operationalization of Fischer levels in the multi-axis skill posterior developed in this article is, I hope, a faithful extension of the theoretical commitments he articulated across his career.</w:t>
      </w:r>
    </w:p>
    <w:p>
      <w:pPr>
        <w:spacing w:after="0" w:before="0" w:line="480"/>
        <w:ind w:firstLine="720"/>
        <w:jc w:val="both"/>
      </w:pPr>
      <w:r>
        <w:rPr>
          <w:rFonts w:ascii="Times New Roman" w:cs="Times New Roman" w:eastAsia="Times New Roman" w:hAnsi="Times New Roman"/>
          <w:sz w:val="24"/>
          <w:szCs w:val="24"/>
        </w:rPr>
        <w:t xml:space="preserve">I also thank the clinical and methodological mentors who shaped the program of research from which this article emerges, including the Board for the Certification of Neurofeedback (BCN) supervisors who provided clinical oversight during the early development of the system, and the colleagues at Boston Neuromind LLC who contributed to the curation of the candidate library, the design of Observable Model Refinement, and the implementation of the 9-Loop architecture.</w:t>
      </w:r>
    </w:p>
    <w:p>
      <w:pPr>
        <w:spacing w:after="0" w:before="0" w:line="480"/>
        <w:ind w:firstLine="720"/>
        <w:jc w:val="both"/>
      </w:pPr>
      <w:r>
        <w:rPr>
          <w:rFonts w:ascii="Times New Roman" w:cs="Times New Roman" w:eastAsia="Times New Roman" w:hAnsi="Times New Roman"/>
          <w:sz w:val="24"/>
          <w:szCs w:val="24"/>
        </w:rPr>
        <w:t xml:space="preserve">The synthetic cohort generation code, the algorithm implementation, and the analysis scripts described in this article will be released as an open framework (bnm-decision-engine) following completion of the Phase 2 case series. Code review and replication attempts are welcomed.</w:t>
      </w:r>
    </w:p>
    <w:p>
      <w:pPr>
        <w:spacing w:after="0" w:before="0" w:line="480"/>
        <w:ind w:firstLine="720"/>
        <w:jc w:val="both"/>
      </w:pPr>
      <w:r>
        <w:rPr>
          <w:rFonts w:ascii="Times New Roman" w:cs="Times New Roman" w:eastAsia="Times New Roman" w:hAnsi="Times New Roman"/>
          <w:sz w:val="24"/>
          <w:szCs w:val="24"/>
        </w:rPr>
        <w:t xml:space="preserve">This work was supported by Boston Neuromind LLC. No external funding was received. The author has no conflicts of interest to disclose.</w:t>
      </w:r>
    </w:p>
    <w:p>
      <w:r>
        <w:br w:type="page"/>
      </w:r>
    </w:p>
    <w:p>
      <w:pPr>
        <w:spacing w:after="120" w:before="240" w:line="480"/>
        <w:ind w:firstLine="0"/>
        <w:jc w:val="center"/>
      </w:pPr>
      <w:r>
        <w:rPr>
          <w:rFonts w:ascii="Times New Roman" w:cs="Times New Roman" w:eastAsia="Times New Roman" w:hAnsi="Times New Roman"/>
          <w:b/>
          <w:bCs/>
          <w:sz w:val="26"/>
          <w:szCs w:val="26"/>
        </w:rPr>
        <w:t xml:space="preserve">References</w:t>
      </w:r>
    </w:p>
    <w:p>
      <w:pPr>
        <w:spacing w:after="0" w:before="0" w:line="480"/>
        <w:ind w:left="720" w:hanging="720"/>
      </w:pPr>
      <w:r>
        <w:rPr>
          <w:rFonts w:ascii="Times New Roman" w:cs="Times New Roman" w:eastAsia="Times New Roman" w:hAnsi="Times New Roman"/>
          <w:sz w:val="24"/>
          <w:szCs w:val="24"/>
        </w:rPr>
        <w:t xml:space="preserve">Aleven, V., Baraniuk, R., Brunskill, E., Crossley, S., Demszky, D., Fancsali, S., Gupta, S., Koedinger, K., Piech, C., Ritter, S., Thomas, D. R., Woodhead, S., &amp; Xing, W. (2023). Towards the future of AI-augmented human tutoring in math learning. </w:t>
      </w:r>
      <w:r>
        <w:rPr>
          <w:rFonts w:ascii="Times New Roman" w:cs="Times New Roman" w:eastAsia="Times New Roman" w:hAnsi="Times New Roman"/>
          <w:i/>
          <w:iCs/>
          <w:sz w:val="24"/>
          <w:szCs w:val="24"/>
        </w:rPr>
        <w:t xml:space="preserve">Communications in Information Literacy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17</w:t>
      </w:r>
      <w:r>
        <w:rPr>
          <w:rFonts w:ascii="Times New Roman" w:cs="Times New Roman" w:eastAsia="Times New Roman" w:hAnsi="Times New Roman"/>
          <w:sz w:val="24"/>
          <w:szCs w:val="24"/>
        </w:rPr>
        <w:t xml:space="preserve">(1), 26–43. https://doi.org/10.15760/comminfolit.2023.17.1.3</w:t>
      </w:r>
    </w:p>
    <w:p>
      <w:pPr>
        <w:spacing w:after="0" w:before="0" w:line="480"/>
        <w:ind w:left="720" w:hanging="720"/>
      </w:pPr>
      <w:r>
        <w:rPr>
          <w:rFonts w:ascii="Times New Roman" w:cs="Times New Roman" w:eastAsia="Times New Roman" w:hAnsi="Times New Roman"/>
          <w:sz w:val="24"/>
          <w:szCs w:val="24"/>
        </w:rPr>
        <w:t xml:space="preserve">Allen, M., Levy, A., Parr, T., &amp; Friston, K. J. (2022). In the body’s eye: The computational anatomy of interoceptive inference. </w:t>
      </w:r>
      <w:r>
        <w:rPr>
          <w:rFonts w:ascii="Times New Roman" w:cs="Times New Roman" w:eastAsia="Times New Roman" w:hAnsi="Times New Roman"/>
          <w:i/>
          <w:iCs/>
          <w:sz w:val="24"/>
          <w:szCs w:val="24"/>
        </w:rPr>
        <w:t xml:space="preserve">PLOS Computational Biology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18</w:t>
      </w:r>
      <w:r>
        <w:rPr>
          <w:rFonts w:ascii="Times New Roman" w:cs="Times New Roman" w:eastAsia="Times New Roman" w:hAnsi="Times New Roman"/>
          <w:sz w:val="24"/>
          <w:szCs w:val="24"/>
        </w:rPr>
        <w:t xml:space="preserve">(9), e1010490. https://doi.org/10.1371/journal.pcbi.1010490</w:t>
      </w:r>
    </w:p>
    <w:p>
      <w:pPr>
        <w:spacing w:after="0" w:before="0" w:line="480"/>
        <w:ind w:left="720" w:hanging="720"/>
      </w:pPr>
      <w:r>
        <w:rPr>
          <w:rFonts w:ascii="Times New Roman" w:cs="Times New Roman" w:eastAsia="Times New Roman" w:hAnsi="Times New Roman"/>
          <w:sz w:val="24"/>
          <w:szCs w:val="24"/>
        </w:rPr>
        <w:t xml:space="preserve">Bassen, J., Balaji, B., Schaarschmidt, M., Thille, C., Painter, J., Zimmaro, D., Games, A., Fast, E., &amp; Mitchell, J. C. (2020). Reinforcement learning for the adaptive scheduling of educational activities. In </w:t>
      </w:r>
      <w:r>
        <w:rPr>
          <w:rFonts w:ascii="Times New Roman" w:cs="Times New Roman" w:eastAsia="Times New Roman" w:hAnsi="Times New Roman"/>
          <w:i/>
          <w:iCs/>
          <w:sz w:val="24"/>
          <w:szCs w:val="24"/>
        </w:rPr>
        <w:t xml:space="preserve">Proceedings of the 2020 CHI Conference on Human Factors in Computing Systems</w:t>
      </w:r>
      <w:r>
        <w:rPr>
          <w:rFonts w:ascii="Times New Roman" w:cs="Times New Roman" w:eastAsia="Times New Roman" w:hAnsi="Times New Roman"/>
          <w:sz w:val="24"/>
          <w:szCs w:val="24"/>
        </w:rPr>
        <w:t xml:space="preserve"> (pp. 1–12). Association for Computing Machinery. https://doi.org/10.1145/3313831.3376518</w:t>
      </w:r>
    </w:p>
    <w:p>
      <w:pPr>
        <w:spacing w:after="0" w:before="0" w:line="480"/>
        <w:ind w:left="720" w:hanging="720"/>
      </w:pPr>
      <w:r>
        <w:rPr>
          <w:rFonts w:ascii="Times New Roman" w:cs="Times New Roman" w:eastAsia="Times New Roman" w:hAnsi="Times New Roman"/>
          <w:sz w:val="24"/>
          <w:szCs w:val="24"/>
        </w:rPr>
        <w:t xml:space="preserve">Bjork, R. A., &amp; Bjork, E. L. (2011). Making things hard on yourself, but in a good way: Creating desirable difficulties to enhance learning. In M. A. Gernsbacher, R. W. Pew, L. M. Hough, &amp; J. R. Pomerantz (Eds.), </w:t>
      </w:r>
      <w:r>
        <w:rPr>
          <w:rFonts w:ascii="Times New Roman" w:cs="Times New Roman" w:eastAsia="Times New Roman" w:hAnsi="Times New Roman"/>
          <w:i/>
          <w:iCs/>
          <w:sz w:val="24"/>
          <w:szCs w:val="24"/>
        </w:rPr>
        <w:t xml:space="preserve">Psychology and the real world: Essays illustrating fundamental contributions to society</w:t>
      </w:r>
      <w:r>
        <w:rPr>
          <w:rFonts w:ascii="Times New Roman" w:cs="Times New Roman" w:eastAsia="Times New Roman" w:hAnsi="Times New Roman"/>
          <w:sz w:val="24"/>
          <w:szCs w:val="24"/>
        </w:rPr>
        <w:t xml:space="preserve"> (pp. 56–64). Worth Publishers.</w:t>
      </w:r>
    </w:p>
    <w:p>
      <w:pPr>
        <w:spacing w:after="0" w:before="0" w:line="480"/>
        <w:ind w:left="720" w:hanging="720"/>
      </w:pPr>
      <w:r>
        <w:rPr>
          <w:rFonts w:ascii="Times New Roman" w:cs="Times New Roman" w:eastAsia="Times New Roman" w:hAnsi="Times New Roman"/>
          <w:sz w:val="24"/>
          <w:szCs w:val="24"/>
        </w:rPr>
        <w:t xml:space="preserve">Brand-Gruwel, S., Wopereis, I., &amp; Walraven, A. (2023). A descriptive model of information problem solving while using internet: Implications for SRL. </w:t>
      </w:r>
      <w:r>
        <w:rPr>
          <w:rFonts w:ascii="Times New Roman" w:cs="Times New Roman" w:eastAsia="Times New Roman" w:hAnsi="Times New Roman"/>
          <w:i/>
          <w:iCs/>
          <w:sz w:val="24"/>
          <w:szCs w:val="24"/>
        </w:rPr>
        <w:t xml:space="preserve">Metacognition and Learning</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18</w:t>
      </w:r>
      <w:r>
        <w:rPr>
          <w:rFonts w:ascii="Times New Roman" w:cs="Times New Roman" w:eastAsia="Times New Roman" w:hAnsi="Times New Roman"/>
          <w:sz w:val="24"/>
          <w:szCs w:val="24"/>
        </w:rPr>
        <w:t xml:space="preserve">(2), 451–478. https://doi.org/10.1007/s11409-023-09340-3</w:t>
      </w:r>
    </w:p>
    <w:p>
      <w:pPr>
        <w:spacing w:after="0" w:before="0" w:line="480"/>
        <w:ind w:left="720" w:hanging="720"/>
      </w:pPr>
      <w:r>
        <w:rPr>
          <w:rFonts w:ascii="Times New Roman" w:cs="Times New Roman" w:eastAsia="Times New Roman" w:hAnsi="Times New Roman"/>
          <w:sz w:val="24"/>
          <w:szCs w:val="24"/>
        </w:rPr>
        <w:t xml:space="preserve">Clement, B., Roy, D., Oudeyer, P.-Y., &amp; Lopes, M. (2015). Multi-armed bandits for intelligent tutoring systems. </w:t>
      </w:r>
      <w:r>
        <w:rPr>
          <w:rFonts w:ascii="Times New Roman" w:cs="Times New Roman" w:eastAsia="Times New Roman" w:hAnsi="Times New Roman"/>
          <w:i/>
          <w:iCs/>
          <w:sz w:val="24"/>
          <w:szCs w:val="24"/>
        </w:rPr>
        <w:t xml:space="preserve">Journal of Educational Data Mining</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7</w:t>
      </w:r>
      <w:r>
        <w:rPr>
          <w:rFonts w:ascii="Times New Roman" w:cs="Times New Roman" w:eastAsia="Times New Roman" w:hAnsi="Times New Roman"/>
          <w:sz w:val="24"/>
          <w:szCs w:val="24"/>
        </w:rPr>
        <w:t xml:space="preserve">(2), 20–48. https://doi.org/10.5281/zenodo.3554667</w:t>
      </w:r>
    </w:p>
    <w:p>
      <w:pPr>
        <w:spacing w:after="0" w:before="0" w:line="480"/>
        <w:ind w:left="720" w:hanging="720"/>
      </w:pPr>
      <w:r>
        <w:rPr>
          <w:rFonts w:ascii="Times New Roman" w:cs="Times New Roman" w:eastAsia="Times New Roman" w:hAnsi="Times New Roman"/>
          <w:sz w:val="24"/>
          <w:szCs w:val="24"/>
        </w:rPr>
        <w:t xml:space="preserve">Constant, A., Ramstead, M. J. D., Veissière, S. P. L., Campbell, J. O., &amp; Friston, K. J. (2018). A variational approach to niche construction. </w:t>
      </w:r>
      <w:r>
        <w:rPr>
          <w:rFonts w:ascii="Times New Roman" w:cs="Times New Roman" w:eastAsia="Times New Roman" w:hAnsi="Times New Roman"/>
          <w:i/>
          <w:iCs/>
          <w:sz w:val="24"/>
          <w:szCs w:val="24"/>
        </w:rPr>
        <w:t xml:space="preserve">Journal of the Royal Society Interface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15</w:t>
      </w:r>
      <w:r>
        <w:rPr>
          <w:rFonts w:ascii="Times New Roman" w:cs="Times New Roman" w:eastAsia="Times New Roman" w:hAnsi="Times New Roman"/>
          <w:sz w:val="24"/>
          <w:szCs w:val="24"/>
        </w:rPr>
        <w:t xml:space="preserve">(141), 20170685. https://doi.org/10.1098/rsif.2017.0685</w:t>
      </w:r>
    </w:p>
    <w:p>
      <w:pPr>
        <w:spacing w:after="0" w:before="0" w:line="480"/>
        <w:ind w:left="720" w:hanging="720"/>
      </w:pPr>
      <w:r>
        <w:rPr>
          <w:rFonts w:ascii="Times New Roman" w:cs="Times New Roman" w:eastAsia="Times New Roman" w:hAnsi="Times New Roman"/>
          <w:sz w:val="24"/>
          <w:szCs w:val="24"/>
        </w:rPr>
        <w:t xml:space="preserve">Conway, C. R., George, M. S., &amp; Sackeim, H. A. (2019). Toward an evidence-based, operational definition of treatment-resistant depression. </w:t>
      </w:r>
      <w:r>
        <w:rPr>
          <w:rFonts w:ascii="Times New Roman" w:cs="Times New Roman" w:eastAsia="Times New Roman" w:hAnsi="Times New Roman"/>
          <w:i/>
          <w:iCs/>
          <w:sz w:val="24"/>
          <w:szCs w:val="24"/>
        </w:rPr>
        <w:t xml:space="preserve">JAMA Psychiatry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74</w:t>
      </w:r>
      <w:r>
        <w:rPr>
          <w:rFonts w:ascii="Times New Roman" w:cs="Times New Roman" w:eastAsia="Times New Roman" w:hAnsi="Times New Roman"/>
          <w:sz w:val="24"/>
          <w:szCs w:val="24"/>
        </w:rPr>
        <w:t xml:space="preserve">(1), 9–10. https://doi.org/10.1001/jamapsychiatry.2016.2586</w:t>
      </w:r>
    </w:p>
    <w:p>
      <w:pPr>
        <w:spacing w:after="0" w:before="0" w:line="480"/>
        <w:ind w:left="720" w:hanging="720"/>
      </w:pPr>
      <w:r>
        <w:rPr>
          <w:rFonts w:ascii="Times New Roman" w:cs="Times New Roman" w:eastAsia="Times New Roman" w:hAnsi="Times New Roman"/>
          <w:sz w:val="24"/>
          <w:szCs w:val="24"/>
        </w:rPr>
        <w:t xml:space="preserve">Csikszentmihalyi, M. (1990). </w:t>
      </w:r>
      <w:r>
        <w:rPr>
          <w:rFonts w:ascii="Times New Roman" w:cs="Times New Roman" w:eastAsia="Times New Roman" w:hAnsi="Times New Roman"/>
          <w:i/>
          <w:iCs/>
          <w:sz w:val="24"/>
          <w:szCs w:val="24"/>
        </w:rPr>
        <w:t xml:space="preserve">Flow: The psychology of optimal experience</w:t>
      </w:r>
      <w:r>
        <w:rPr>
          <w:rFonts w:ascii="Times New Roman" w:cs="Times New Roman" w:eastAsia="Times New Roman" w:hAnsi="Times New Roman"/>
          <w:sz w:val="24"/>
          <w:szCs w:val="24"/>
        </w:rPr>
        <w:t xml:space="preserve">. Harper &amp; Row.</w:t>
      </w:r>
    </w:p>
    <w:p>
      <w:pPr>
        <w:spacing w:after="0" w:before="0" w:line="480"/>
        <w:ind w:left="720" w:hanging="720"/>
      </w:pPr>
      <w:r>
        <w:rPr>
          <w:rFonts w:ascii="Times New Roman" w:cs="Times New Roman" w:eastAsia="Times New Roman" w:hAnsi="Times New Roman"/>
          <w:sz w:val="24"/>
          <w:szCs w:val="24"/>
        </w:rPr>
        <w:t xml:space="preserve">Cuthbert, B. N., &amp; Insel, T. R. (2013). Toward the future of psychiatric diagnosis: The seven pillars of RDoC. </w:t>
      </w:r>
      <w:r>
        <w:rPr>
          <w:rFonts w:ascii="Times New Roman" w:cs="Times New Roman" w:eastAsia="Times New Roman" w:hAnsi="Times New Roman"/>
          <w:i/>
          <w:iCs/>
          <w:sz w:val="24"/>
          <w:szCs w:val="24"/>
        </w:rPr>
        <w:t xml:space="preserve">BMC Medicine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11</w:t>
      </w:r>
      <w:r>
        <w:rPr>
          <w:rFonts w:ascii="Times New Roman" w:cs="Times New Roman" w:eastAsia="Times New Roman" w:hAnsi="Times New Roman"/>
          <w:sz w:val="24"/>
          <w:szCs w:val="24"/>
        </w:rPr>
        <w:t xml:space="preserve">, 126. https://doi.org/10.1186/1741-7015-11-126</w:t>
      </w:r>
    </w:p>
    <w:p>
      <w:pPr>
        <w:spacing w:after="0" w:before="0" w:line="480"/>
        <w:ind w:left="720" w:hanging="720"/>
      </w:pPr>
      <w:r>
        <w:rPr>
          <w:rFonts w:ascii="Times New Roman" w:cs="Times New Roman" w:eastAsia="Times New Roman" w:hAnsi="Times New Roman"/>
          <w:sz w:val="24"/>
          <w:szCs w:val="24"/>
        </w:rPr>
        <w:t xml:space="preserve">Dignath, C., &amp; Büttner, G. (2008). Components of fostering self-regulated learning among students. A meta-analysis on intervention studies at primary and secondary school level. </w:t>
      </w:r>
      <w:r>
        <w:rPr>
          <w:rFonts w:ascii="Times New Roman" w:cs="Times New Roman" w:eastAsia="Times New Roman" w:hAnsi="Times New Roman"/>
          <w:i/>
          <w:iCs/>
          <w:sz w:val="24"/>
          <w:szCs w:val="24"/>
        </w:rPr>
        <w:t xml:space="preserve">Metacognition and Learning</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3</w:t>
      </w:r>
      <w:r>
        <w:rPr>
          <w:rFonts w:ascii="Times New Roman" w:cs="Times New Roman" w:eastAsia="Times New Roman" w:hAnsi="Times New Roman"/>
          <w:sz w:val="24"/>
          <w:szCs w:val="24"/>
        </w:rPr>
        <w:t xml:space="preserve">(3), 231–264. https://doi.org/10.1007/s11409-008-9029-x</w:t>
      </w:r>
    </w:p>
    <w:p>
      <w:pPr>
        <w:spacing w:after="0" w:before="0" w:line="480"/>
        <w:ind w:left="720" w:hanging="720"/>
      </w:pPr>
      <w:r>
        <w:rPr>
          <w:rFonts w:ascii="Times New Roman" w:cs="Times New Roman" w:eastAsia="Times New Roman" w:hAnsi="Times New Roman"/>
          <w:sz w:val="24"/>
          <w:szCs w:val="24"/>
        </w:rPr>
        <w:t xml:space="preserve">Fischer, K. W. (1980). A theory of cognitive development: The control and construction of hierarchies of skills. </w:t>
      </w:r>
      <w:r>
        <w:rPr>
          <w:rFonts w:ascii="Times New Roman" w:cs="Times New Roman" w:eastAsia="Times New Roman" w:hAnsi="Times New Roman"/>
          <w:i/>
          <w:iCs/>
          <w:sz w:val="24"/>
          <w:szCs w:val="24"/>
        </w:rPr>
        <w:t xml:space="preserve">Psychological Review</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87</w:t>
      </w:r>
      <w:r>
        <w:rPr>
          <w:rFonts w:ascii="Times New Roman" w:cs="Times New Roman" w:eastAsia="Times New Roman" w:hAnsi="Times New Roman"/>
          <w:sz w:val="24"/>
          <w:szCs w:val="24"/>
        </w:rPr>
        <w:t xml:space="preserve">(6), 477–531. https://doi.org/10.1037/0033-295X.87.6.477</w:t>
      </w:r>
    </w:p>
    <w:p>
      <w:pPr>
        <w:spacing w:after="0" w:before="0" w:line="480"/>
        <w:ind w:left="720" w:hanging="720"/>
      </w:pPr>
      <w:r>
        <w:rPr>
          <w:rFonts w:ascii="Times New Roman" w:cs="Times New Roman" w:eastAsia="Times New Roman" w:hAnsi="Times New Roman"/>
          <w:sz w:val="24"/>
          <w:szCs w:val="24"/>
        </w:rPr>
        <w:t xml:space="preserve">Fischer, K. W., &amp; Bidell, T. R. (2006). Dynamic development of action and thought. In W. Damon &amp; R. M. Lerner (Eds.), </w:t>
      </w:r>
      <w:r>
        <w:rPr>
          <w:rFonts w:ascii="Times New Roman" w:cs="Times New Roman" w:eastAsia="Times New Roman" w:hAnsi="Times New Roman"/>
          <w:i/>
          <w:iCs/>
          <w:sz w:val="24"/>
          <w:szCs w:val="24"/>
        </w:rPr>
        <w:t xml:space="preserve">Handbook of child psychology: Vol. 1. Theoretical models of human development</w:t>
      </w:r>
      <w:r>
        <w:rPr>
          <w:rFonts w:ascii="Times New Roman" w:cs="Times New Roman" w:eastAsia="Times New Roman" w:hAnsi="Times New Roman"/>
          <w:sz w:val="24"/>
          <w:szCs w:val="24"/>
        </w:rPr>
        <w:t xml:space="preserve"> (6th ed., pp. 313–399). Wiley.</w:t>
      </w:r>
    </w:p>
    <w:p>
      <w:pPr>
        <w:spacing w:after="0" w:before="0" w:line="480"/>
        <w:ind w:left="720" w:hanging="720"/>
      </w:pPr>
      <w:r>
        <w:rPr>
          <w:rFonts w:ascii="Times New Roman" w:cs="Times New Roman" w:eastAsia="Times New Roman" w:hAnsi="Times New Roman"/>
          <w:sz w:val="24"/>
          <w:szCs w:val="24"/>
        </w:rPr>
        <w:t xml:space="preserve">Friston, K. J. (2010). The free-energy principle: A unified brain theory? </w:t>
      </w:r>
      <w:r>
        <w:rPr>
          <w:rFonts w:ascii="Times New Roman" w:cs="Times New Roman" w:eastAsia="Times New Roman" w:hAnsi="Times New Roman"/>
          <w:i/>
          <w:iCs/>
          <w:sz w:val="24"/>
          <w:szCs w:val="24"/>
        </w:rPr>
        <w:t xml:space="preserve">Nature Reviews Neuroscience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11</w:t>
      </w:r>
      <w:r>
        <w:rPr>
          <w:rFonts w:ascii="Times New Roman" w:cs="Times New Roman" w:eastAsia="Times New Roman" w:hAnsi="Times New Roman"/>
          <w:sz w:val="24"/>
          <w:szCs w:val="24"/>
        </w:rPr>
        <w:t xml:space="preserve">(2), 127–138. https://doi.org/10.1038/nrn2787</w:t>
      </w:r>
    </w:p>
    <w:p>
      <w:pPr>
        <w:spacing w:after="0" w:before="0" w:line="480"/>
        <w:ind w:left="720" w:hanging="720"/>
      </w:pPr>
      <w:r>
        <w:rPr>
          <w:rFonts w:ascii="Times New Roman" w:cs="Times New Roman" w:eastAsia="Times New Roman" w:hAnsi="Times New Roman"/>
          <w:sz w:val="24"/>
          <w:szCs w:val="24"/>
        </w:rPr>
        <w:t xml:space="preserve">Friston, K. J., FitzGerald, T., Rigoli, F., Schwartenbeck, P., &amp; Pezzulo, G. (2017). Active inference: A process theory. </w:t>
      </w:r>
      <w:r>
        <w:rPr>
          <w:rFonts w:ascii="Times New Roman" w:cs="Times New Roman" w:eastAsia="Times New Roman" w:hAnsi="Times New Roman"/>
          <w:i/>
          <w:iCs/>
          <w:sz w:val="24"/>
          <w:szCs w:val="24"/>
        </w:rPr>
        <w:t xml:space="preserve">Neural Computation</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29</w:t>
      </w:r>
      <w:r>
        <w:rPr>
          <w:rFonts w:ascii="Times New Roman" w:cs="Times New Roman" w:eastAsia="Times New Roman" w:hAnsi="Times New Roman"/>
          <w:sz w:val="24"/>
          <w:szCs w:val="24"/>
        </w:rPr>
        <w:t xml:space="preserve">(1), 1–49. https://doi.org/10.1162/NECO_a_00912</w:t>
      </w:r>
    </w:p>
    <w:p>
      <w:pPr>
        <w:spacing w:after="0" w:before="0" w:line="480"/>
        <w:ind w:left="720" w:hanging="720"/>
      </w:pPr>
      <w:r>
        <w:rPr>
          <w:rFonts w:ascii="Times New Roman" w:cs="Times New Roman" w:eastAsia="Times New Roman" w:hAnsi="Times New Roman"/>
          <w:sz w:val="24"/>
          <w:szCs w:val="24"/>
        </w:rPr>
        <w:t xml:space="preserve">Greene, J. A. (2017). </w:t>
      </w:r>
      <w:r>
        <w:rPr>
          <w:rFonts w:ascii="Times New Roman" w:cs="Times New Roman" w:eastAsia="Times New Roman" w:hAnsi="Times New Roman"/>
          <w:i/>
          <w:iCs/>
          <w:sz w:val="24"/>
          <w:szCs w:val="24"/>
        </w:rPr>
        <w:t xml:space="preserve">Self-regulation in education</w:t>
      </w:r>
      <w:r>
        <w:rPr>
          <w:rFonts w:ascii="Times New Roman" w:cs="Times New Roman" w:eastAsia="Times New Roman" w:hAnsi="Times New Roman"/>
          <w:sz w:val="24"/>
          <w:szCs w:val="24"/>
        </w:rPr>
        <w:t xml:space="preserve">. Routledge. https://doi.org/10.4324/9781315537450</w:t>
      </w:r>
    </w:p>
    <w:p>
      <w:pPr>
        <w:spacing w:after="0" w:before="0" w:line="480"/>
        <w:ind w:left="720" w:hanging="720"/>
      </w:pPr>
      <w:r>
        <w:rPr>
          <w:rFonts w:ascii="Times New Roman" w:cs="Times New Roman" w:eastAsia="Times New Roman" w:hAnsi="Times New Roman"/>
          <w:sz w:val="24"/>
          <w:szCs w:val="24"/>
        </w:rPr>
        <w:t xml:space="preserve">Greene, J. A., &amp; Azevedo, R. (2007). A theoretical review of Winne and Hadwin’s model of self-regulated learning: New perspectives and directions. </w:t>
      </w:r>
      <w:r>
        <w:rPr>
          <w:rFonts w:ascii="Times New Roman" w:cs="Times New Roman" w:eastAsia="Times New Roman" w:hAnsi="Times New Roman"/>
          <w:i/>
          <w:iCs/>
          <w:sz w:val="24"/>
          <w:szCs w:val="24"/>
        </w:rPr>
        <w:t xml:space="preserve">Review of Educational Research</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77</w:t>
      </w:r>
      <w:r>
        <w:rPr>
          <w:rFonts w:ascii="Times New Roman" w:cs="Times New Roman" w:eastAsia="Times New Roman" w:hAnsi="Times New Roman"/>
          <w:sz w:val="24"/>
          <w:szCs w:val="24"/>
        </w:rPr>
        <w:t xml:space="preserve">(3), 334–372. https://doi.org/10.3102/003465430303953</w:t>
      </w:r>
    </w:p>
    <w:p>
      <w:pPr>
        <w:spacing w:after="0" w:before="0" w:line="480"/>
        <w:ind w:left="720" w:hanging="720"/>
      </w:pPr>
      <w:r>
        <w:rPr>
          <w:rFonts w:ascii="Times New Roman" w:cs="Times New Roman" w:eastAsia="Times New Roman" w:hAnsi="Times New Roman"/>
          <w:sz w:val="24"/>
          <w:szCs w:val="24"/>
        </w:rPr>
        <w:t xml:space="preserve">Hardwicke, T. E., &amp; Wagenmakers, E.-J. (2023). Reducing bias, increasing transparency, and calibrating confidence with preregistration. </w:t>
      </w:r>
      <w:r>
        <w:rPr>
          <w:rFonts w:ascii="Times New Roman" w:cs="Times New Roman" w:eastAsia="Times New Roman" w:hAnsi="Times New Roman"/>
          <w:i/>
          <w:iCs/>
          <w:sz w:val="24"/>
          <w:szCs w:val="24"/>
        </w:rPr>
        <w:t xml:space="preserve">Nature Human Behaviour</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7</w:t>
      </w:r>
      <w:r>
        <w:rPr>
          <w:rFonts w:ascii="Times New Roman" w:cs="Times New Roman" w:eastAsia="Times New Roman" w:hAnsi="Times New Roman"/>
          <w:sz w:val="24"/>
          <w:szCs w:val="24"/>
        </w:rPr>
        <w:t xml:space="preserve">(1), 15–26. https://doi.org/10.1038/s41562-022-01497-2</w:t>
      </w:r>
    </w:p>
    <w:p>
      <w:pPr>
        <w:spacing w:after="0" w:before="0" w:line="480"/>
        <w:ind w:left="720" w:hanging="720"/>
      </w:pPr>
      <w:r>
        <w:rPr>
          <w:rFonts w:ascii="Times New Roman" w:cs="Times New Roman" w:eastAsia="Times New Roman" w:hAnsi="Times New Roman"/>
          <w:sz w:val="24"/>
          <w:szCs w:val="24"/>
        </w:rPr>
        <w:t xml:space="preserve">Hess, A., Smith, R., Mayeli, A., Taylor, S., &amp; Khalsa, S. S. (2025). Active inference and computational psychiatry: A roadmap for clinical translation. </w:t>
      </w:r>
      <w:r>
        <w:rPr>
          <w:rFonts w:ascii="Times New Roman" w:cs="Times New Roman" w:eastAsia="Times New Roman" w:hAnsi="Times New Roman"/>
          <w:i/>
          <w:iCs/>
          <w:sz w:val="24"/>
          <w:szCs w:val="24"/>
        </w:rPr>
        <w:t xml:space="preserve">Biological Psychiatry: Cognitive Neuroscience and Neuroimaging</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10</w:t>
      </w:r>
      <w:r>
        <w:rPr>
          <w:rFonts w:ascii="Times New Roman" w:cs="Times New Roman" w:eastAsia="Times New Roman" w:hAnsi="Times New Roman"/>
          <w:sz w:val="24"/>
          <w:szCs w:val="24"/>
        </w:rPr>
        <w:t xml:space="preserve">(2), 124–139. https://doi.org/10.1016/j.bpsc.2024.09.005</w:t>
      </w:r>
    </w:p>
    <w:p>
      <w:pPr>
        <w:spacing w:after="0" w:before="0" w:line="480"/>
        <w:ind w:left="720" w:hanging="720"/>
      </w:pPr>
      <w:r>
        <w:rPr>
          <w:rFonts w:ascii="Times New Roman" w:cs="Times New Roman" w:eastAsia="Times New Roman" w:hAnsi="Times New Roman"/>
          <w:sz w:val="24"/>
          <w:szCs w:val="24"/>
        </w:rPr>
        <w:t xml:space="preserve">Jirsa, V. K., Proix, T., Perdikis, D., Woodman, M. M., Wang, H., Gonzalez-Martinez, J., Bernard, C., Bénar, C., Guye, M., Chauvel, P., &amp; Bartolomei, F. (2017). The Virtual Epileptic Patient: Individualized whole-brain models of epilepsy spread. </w:t>
      </w:r>
      <w:r>
        <w:rPr>
          <w:rFonts w:ascii="Times New Roman" w:cs="Times New Roman" w:eastAsia="Times New Roman" w:hAnsi="Times New Roman"/>
          <w:i/>
          <w:iCs/>
          <w:sz w:val="24"/>
          <w:szCs w:val="24"/>
        </w:rPr>
        <w:t xml:space="preserve">NeuroImage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145</w:t>
      </w:r>
      <w:r>
        <w:rPr>
          <w:rFonts w:ascii="Times New Roman" w:cs="Times New Roman" w:eastAsia="Times New Roman" w:hAnsi="Times New Roman"/>
          <w:sz w:val="24"/>
          <w:szCs w:val="24"/>
        </w:rPr>
        <w:t xml:space="preserve">, 377–388. https://doi.org/10.1016/j.neuroimage.2016.04.049</w:t>
      </w:r>
    </w:p>
    <w:p>
      <w:pPr>
        <w:spacing w:after="0" w:before="0" w:line="480"/>
        <w:ind w:left="720" w:hanging="720"/>
      </w:pPr>
      <w:r>
        <w:rPr>
          <w:rFonts w:ascii="Times New Roman" w:cs="Times New Roman" w:eastAsia="Times New Roman" w:hAnsi="Times New Roman"/>
          <w:sz w:val="24"/>
          <w:szCs w:val="24"/>
        </w:rPr>
        <w:t xml:space="preserve">Kasneci, E., Sessler, K., Küchemann, S., Bannert, M., Dementieva, D., Fischer, F., Gasser, U., Groh, G., Günnemann, S., Hüllermeier, E., Krusche, S., Kutyniok, G., Michaeli, T., Nerdel, C., Pfeffer, J., Poquet, O., Sailer, M., Schmidt, A., Seidel, T., … Kasneci, G. (2023). ChatGPT for good? On opportunities and challenges of large language models for education. </w:t>
      </w:r>
      <w:r>
        <w:rPr>
          <w:rFonts w:ascii="Times New Roman" w:cs="Times New Roman" w:eastAsia="Times New Roman" w:hAnsi="Times New Roman"/>
          <w:i/>
          <w:iCs/>
          <w:sz w:val="24"/>
          <w:szCs w:val="24"/>
        </w:rPr>
        <w:t xml:space="preserve">Learning and Individual Differences</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103</w:t>
      </w:r>
      <w:r>
        <w:rPr>
          <w:rFonts w:ascii="Times New Roman" w:cs="Times New Roman" w:eastAsia="Times New Roman" w:hAnsi="Times New Roman"/>
          <w:sz w:val="24"/>
          <w:szCs w:val="24"/>
        </w:rPr>
        <w:t xml:space="preserve">, 102274. https://doi.org/10.1016/j.lindif.2023.102274</w:t>
      </w:r>
    </w:p>
    <w:p>
      <w:pPr>
        <w:spacing w:after="0" w:before="0" w:line="480"/>
        <w:ind w:left="720" w:hanging="720"/>
      </w:pPr>
      <w:r>
        <w:rPr>
          <w:rFonts w:ascii="Times New Roman" w:cs="Times New Roman" w:eastAsia="Times New Roman" w:hAnsi="Times New Roman"/>
          <w:sz w:val="24"/>
          <w:szCs w:val="24"/>
        </w:rPr>
        <w:t xml:space="preserve">Khajah, M., Wing, R. M., Lindsey, R. V., &amp; Mozer, M. C. (2014). Integrating latent-factor and knowledge-tracing models to predict individual differences in learning. In </w:t>
      </w:r>
      <w:r>
        <w:rPr>
          <w:rFonts w:ascii="Times New Roman" w:cs="Times New Roman" w:eastAsia="Times New Roman" w:hAnsi="Times New Roman"/>
          <w:i/>
          <w:iCs/>
          <w:sz w:val="24"/>
          <w:szCs w:val="24"/>
        </w:rPr>
        <w:t xml:space="preserve">Proceedings of the 7th International Conference on Educational Data Mining</w:t>
      </w:r>
      <w:r>
        <w:rPr>
          <w:rFonts w:ascii="Times New Roman" w:cs="Times New Roman" w:eastAsia="Times New Roman" w:hAnsi="Times New Roman"/>
          <w:sz w:val="24"/>
          <w:szCs w:val="24"/>
        </w:rPr>
        <w:t xml:space="preserve"> (pp. 99–106). International Educational Data Mining Society.</w:t>
      </w:r>
    </w:p>
    <w:p>
      <w:pPr>
        <w:spacing w:after="0" w:before="0" w:line="480"/>
        <w:ind w:left="720" w:hanging="720"/>
      </w:pPr>
      <w:r>
        <w:rPr>
          <w:rFonts w:ascii="Times New Roman" w:cs="Times New Roman" w:eastAsia="Times New Roman" w:hAnsi="Times New Roman"/>
          <w:sz w:val="24"/>
          <w:szCs w:val="24"/>
        </w:rPr>
        <w:t xml:space="preserve">Laborde, S., Mosley, E., &amp; Thayer, J. F. (2017). Heart rate variability and cardiac vagal tone in psychophysiological research—Recommendations for experiment planning, data analysis, and data reporting. </w:t>
      </w:r>
      <w:r>
        <w:rPr>
          <w:rFonts w:ascii="Times New Roman" w:cs="Times New Roman" w:eastAsia="Times New Roman" w:hAnsi="Times New Roman"/>
          <w:i/>
          <w:iCs/>
          <w:sz w:val="24"/>
          <w:szCs w:val="24"/>
        </w:rPr>
        <w:t xml:space="preserve">Frontiers in Psychology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8</w:t>
      </w:r>
      <w:r>
        <w:rPr>
          <w:rFonts w:ascii="Times New Roman" w:cs="Times New Roman" w:eastAsia="Times New Roman" w:hAnsi="Times New Roman"/>
          <w:sz w:val="24"/>
          <w:szCs w:val="24"/>
        </w:rPr>
        <w:t xml:space="preserve">, 213. https://doi.org/10.3389/fpsyg.2017.00213</w:t>
      </w:r>
    </w:p>
    <w:p>
      <w:pPr>
        <w:spacing w:after="0" w:before="0" w:line="480"/>
        <w:ind w:left="720" w:hanging="720"/>
      </w:pPr>
      <w:r>
        <w:rPr>
          <w:rFonts w:ascii="Times New Roman" w:cs="Times New Roman" w:eastAsia="Times New Roman" w:hAnsi="Times New Roman"/>
          <w:sz w:val="24"/>
          <w:szCs w:val="24"/>
        </w:rPr>
        <w:t xml:space="preserve">Latham, G. P., &amp; Locke, E. A. (2007). New developments in and directions for goal-setting research. </w:t>
      </w:r>
      <w:r>
        <w:rPr>
          <w:rFonts w:ascii="Times New Roman" w:cs="Times New Roman" w:eastAsia="Times New Roman" w:hAnsi="Times New Roman"/>
          <w:i/>
          <w:iCs/>
          <w:sz w:val="24"/>
          <w:szCs w:val="24"/>
        </w:rPr>
        <w:t xml:space="preserve">European Psychologist</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12</w:t>
      </w:r>
      <w:r>
        <w:rPr>
          <w:rFonts w:ascii="Times New Roman" w:cs="Times New Roman" w:eastAsia="Times New Roman" w:hAnsi="Times New Roman"/>
          <w:sz w:val="24"/>
          <w:szCs w:val="24"/>
        </w:rPr>
        <w:t xml:space="preserve">(4), 290–300. https://doi.org/10.1027/1016-9040.12.4.290</w:t>
      </w:r>
    </w:p>
    <w:p>
      <w:pPr>
        <w:spacing w:after="0" w:before="0" w:line="480"/>
        <w:ind w:left="720" w:hanging="720"/>
      </w:pPr>
      <w:r>
        <w:rPr>
          <w:rFonts w:ascii="Times New Roman" w:cs="Times New Roman" w:eastAsia="Times New Roman" w:hAnsi="Times New Roman"/>
          <w:sz w:val="24"/>
          <w:szCs w:val="24"/>
        </w:rPr>
        <w:t xml:space="preserve">Li, L., Chu, W., Langford, J., &amp; Schapire, R. E. (2010). A contextual-bandit approach to personalized news article recommendation. In </w:t>
      </w:r>
      <w:r>
        <w:rPr>
          <w:rFonts w:ascii="Times New Roman" w:cs="Times New Roman" w:eastAsia="Times New Roman" w:hAnsi="Times New Roman"/>
          <w:i/>
          <w:iCs/>
          <w:sz w:val="24"/>
          <w:szCs w:val="24"/>
        </w:rPr>
        <w:t xml:space="preserve">Proceedings of the 19th International Conference on World Wide Web</w:t>
      </w:r>
      <w:r>
        <w:rPr>
          <w:rFonts w:ascii="Times New Roman" w:cs="Times New Roman" w:eastAsia="Times New Roman" w:hAnsi="Times New Roman"/>
          <w:sz w:val="24"/>
          <w:szCs w:val="24"/>
        </w:rPr>
        <w:t xml:space="preserve"> (pp. 661–670). Association for Computing Machinery. https://doi.org/10.1145/1772690.1772758</w:t>
      </w:r>
    </w:p>
    <w:p>
      <w:pPr>
        <w:spacing w:after="0" w:before="0" w:line="480"/>
        <w:ind w:left="720" w:hanging="720"/>
      </w:pPr>
      <w:r>
        <w:rPr>
          <w:rFonts w:ascii="Times New Roman" w:cs="Times New Roman" w:eastAsia="Times New Roman" w:hAnsi="Times New Roman"/>
          <w:sz w:val="24"/>
          <w:szCs w:val="24"/>
        </w:rPr>
        <w:t xml:space="preserve">Lindley, D. V. (1956). On a measure of the information provided by an experiment. </w:t>
      </w:r>
      <w:r>
        <w:rPr>
          <w:rFonts w:ascii="Times New Roman" w:cs="Times New Roman" w:eastAsia="Times New Roman" w:hAnsi="Times New Roman"/>
          <w:i/>
          <w:iCs/>
          <w:sz w:val="24"/>
          <w:szCs w:val="24"/>
        </w:rPr>
        <w:t xml:space="preserve">The Annals of Mathematical Statistics</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27</w:t>
      </w:r>
      <w:r>
        <w:rPr>
          <w:rFonts w:ascii="Times New Roman" w:cs="Times New Roman" w:eastAsia="Times New Roman" w:hAnsi="Times New Roman"/>
          <w:sz w:val="24"/>
          <w:szCs w:val="24"/>
        </w:rPr>
        <w:t xml:space="preserve">(4), 986–1005. https://doi.org/10.1214/aoms/1177728069</w:t>
      </w:r>
    </w:p>
    <w:p>
      <w:pPr>
        <w:spacing w:after="0" w:before="0" w:line="480"/>
        <w:ind w:left="720" w:hanging="720"/>
      </w:pPr>
      <w:r>
        <w:rPr>
          <w:rFonts w:ascii="Times New Roman" w:cs="Times New Roman" w:eastAsia="Times New Roman" w:hAnsi="Times New Roman"/>
          <w:sz w:val="24"/>
          <w:szCs w:val="24"/>
        </w:rPr>
        <w:t xml:space="preserve">Lindsey, R. V., Shroyer, J. D., Pashler, H., &amp; Mozer, M. C. (2014). Improving students’ long-term knowledge retention through personalized review. </w:t>
      </w:r>
      <w:r>
        <w:rPr>
          <w:rFonts w:ascii="Times New Roman" w:cs="Times New Roman" w:eastAsia="Times New Roman" w:hAnsi="Times New Roman"/>
          <w:i/>
          <w:iCs/>
          <w:sz w:val="24"/>
          <w:szCs w:val="24"/>
        </w:rPr>
        <w:t xml:space="preserve">Psychological Science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25</w:t>
      </w:r>
      <w:r>
        <w:rPr>
          <w:rFonts w:ascii="Times New Roman" w:cs="Times New Roman" w:eastAsia="Times New Roman" w:hAnsi="Times New Roman"/>
          <w:sz w:val="24"/>
          <w:szCs w:val="24"/>
        </w:rPr>
        <w:t xml:space="preserve">(3), 639–647. https://doi.org/10.1177/0956797613504302</w:t>
      </w:r>
    </w:p>
    <w:p>
      <w:pPr>
        <w:spacing w:after="0" w:before="0" w:line="480"/>
        <w:ind w:left="720" w:hanging="720"/>
      </w:pPr>
      <w:r>
        <w:rPr>
          <w:rFonts w:ascii="Times New Roman" w:cs="Times New Roman" w:eastAsia="Times New Roman" w:hAnsi="Times New Roman"/>
          <w:sz w:val="24"/>
          <w:szCs w:val="24"/>
        </w:rPr>
        <w:t xml:space="preserve">Mascolo, M. F., &amp; Fischer, K. W. (2015). Dynamic development of thinking, feeling, and acting. In W. F. Overton, P. C. M. Molenaar, &amp; R. M. Lerner (Eds.), </w:t>
      </w:r>
      <w:r>
        <w:rPr>
          <w:rFonts w:ascii="Times New Roman" w:cs="Times New Roman" w:eastAsia="Times New Roman" w:hAnsi="Times New Roman"/>
          <w:i/>
          <w:iCs/>
          <w:sz w:val="24"/>
          <w:szCs w:val="24"/>
        </w:rPr>
        <w:t xml:space="preserve">Handbook of child psychology and developmental science: Vol. 1. Theory and method</w:t>
      </w:r>
      <w:r>
        <w:rPr>
          <w:rFonts w:ascii="Times New Roman" w:cs="Times New Roman" w:eastAsia="Times New Roman" w:hAnsi="Times New Roman"/>
          <w:sz w:val="24"/>
          <w:szCs w:val="24"/>
        </w:rPr>
        <w:t xml:space="preserve"> (7th ed., pp. 113–161). Wiley. https://doi.org/10.1002/9781118963418.childpsy104</w:t>
      </w:r>
    </w:p>
    <w:p>
      <w:pPr>
        <w:spacing w:after="0" w:before="0" w:line="480"/>
        <w:ind w:left="720" w:hanging="720"/>
      </w:pPr>
      <w:r>
        <w:rPr>
          <w:rFonts w:ascii="Times New Roman" w:cs="Times New Roman" w:eastAsia="Times New Roman" w:hAnsi="Times New Roman"/>
          <w:sz w:val="24"/>
          <w:szCs w:val="24"/>
        </w:rPr>
        <w:t xml:space="preserve">Mosley, E., &amp; Laborde, S. (2022). A scoping review of heart rate variability in sport and exercise psychology. </w:t>
      </w:r>
      <w:r>
        <w:rPr>
          <w:rFonts w:ascii="Times New Roman" w:cs="Times New Roman" w:eastAsia="Times New Roman" w:hAnsi="Times New Roman"/>
          <w:i/>
          <w:iCs/>
          <w:sz w:val="24"/>
          <w:szCs w:val="24"/>
        </w:rPr>
        <w:t xml:space="preserve">International Review of Sport and Exercise Psychology</w:t>
      </w:r>
      <w:r>
        <w:rPr>
          <w:rFonts w:ascii="Times New Roman" w:cs="Times New Roman" w:eastAsia="Times New Roman" w:hAnsi="Times New Roman"/>
          <w:sz w:val="24"/>
          <w:szCs w:val="24"/>
        </w:rPr>
        <w:t xml:space="preserve">, 1–75. https://doi.org/10.1080/1750984X.2022.2092884</w:t>
      </w:r>
    </w:p>
    <w:p>
      <w:pPr>
        <w:spacing w:after="0" w:before="0" w:line="480"/>
        <w:ind w:left="720" w:hanging="720"/>
      </w:pPr>
      <w:r>
        <w:rPr>
          <w:rFonts w:ascii="Times New Roman" w:cs="Times New Roman" w:eastAsia="Times New Roman" w:hAnsi="Times New Roman"/>
          <w:sz w:val="24"/>
          <w:szCs w:val="24"/>
        </w:rPr>
        <w:t xml:space="preserve">Nunan, D., Sandercock, G. R. H., &amp; Brodie, D. A. (2010). A quantitative systematic review of normal values for short-term heart rate variability in healthy adults. </w:t>
      </w:r>
      <w:r>
        <w:rPr>
          <w:rFonts w:ascii="Times New Roman" w:cs="Times New Roman" w:eastAsia="Times New Roman" w:hAnsi="Times New Roman"/>
          <w:i/>
          <w:iCs/>
          <w:sz w:val="24"/>
          <w:szCs w:val="24"/>
        </w:rPr>
        <w:t xml:space="preserve">Pacing and Clinical Electrophysiology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33</w:t>
      </w:r>
      <w:r>
        <w:rPr>
          <w:rFonts w:ascii="Times New Roman" w:cs="Times New Roman" w:eastAsia="Times New Roman" w:hAnsi="Times New Roman"/>
          <w:sz w:val="24"/>
          <w:szCs w:val="24"/>
        </w:rPr>
        <w:t xml:space="preserve">(11), 1407–1417. https://doi.org/10.1111/j.1540-8159.2010.02841.x</w:t>
      </w:r>
    </w:p>
    <w:p>
      <w:pPr>
        <w:spacing w:after="0" w:before="0" w:line="480"/>
        <w:ind w:left="720" w:hanging="720"/>
      </w:pPr>
      <w:r>
        <w:rPr>
          <w:rFonts w:ascii="Times New Roman" w:cs="Times New Roman" w:eastAsia="Times New Roman" w:hAnsi="Times New Roman"/>
          <w:sz w:val="24"/>
          <w:szCs w:val="24"/>
        </w:rPr>
        <w:t xml:space="preserve">Panadero, E. (2017). A review of self-regulated learning: Six models and four directions for research. </w:t>
      </w:r>
      <w:r>
        <w:rPr>
          <w:rFonts w:ascii="Times New Roman" w:cs="Times New Roman" w:eastAsia="Times New Roman" w:hAnsi="Times New Roman"/>
          <w:i/>
          <w:iCs/>
          <w:sz w:val="24"/>
          <w:szCs w:val="24"/>
        </w:rPr>
        <w:t xml:space="preserve">Frontiers in Psychology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8</w:t>
      </w:r>
      <w:r>
        <w:rPr>
          <w:rFonts w:ascii="Times New Roman" w:cs="Times New Roman" w:eastAsia="Times New Roman" w:hAnsi="Times New Roman"/>
          <w:sz w:val="24"/>
          <w:szCs w:val="24"/>
        </w:rPr>
        <w:t xml:space="preserve">, 422. https://doi.org/10.3389/fpsyg.2017.00422</w:t>
      </w:r>
    </w:p>
    <w:p>
      <w:pPr>
        <w:spacing w:after="0" w:before="0" w:line="480"/>
        <w:ind w:left="720" w:hanging="720"/>
      </w:pPr>
      <w:r>
        <w:rPr>
          <w:rFonts w:ascii="Times New Roman" w:cs="Times New Roman" w:eastAsia="Times New Roman" w:hAnsi="Times New Roman"/>
          <w:sz w:val="24"/>
          <w:szCs w:val="24"/>
        </w:rPr>
        <w:t xml:space="preserve">Pappalardo, F., Russo, G., Tshinanu, F. M., &amp; Viceconti, M. (2019). In silico clinical trials: Concepts and early adoptions. </w:t>
      </w:r>
      <w:r>
        <w:rPr>
          <w:rFonts w:ascii="Times New Roman" w:cs="Times New Roman" w:eastAsia="Times New Roman" w:hAnsi="Times New Roman"/>
          <w:i/>
          <w:iCs/>
          <w:sz w:val="24"/>
          <w:szCs w:val="24"/>
        </w:rPr>
        <w:t xml:space="preserve">Briefings in Bioinformatics</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20</w:t>
      </w:r>
      <w:r>
        <w:rPr>
          <w:rFonts w:ascii="Times New Roman" w:cs="Times New Roman" w:eastAsia="Times New Roman" w:hAnsi="Times New Roman"/>
          <w:sz w:val="24"/>
          <w:szCs w:val="24"/>
        </w:rPr>
        <w:t xml:space="preserve">(5), 1699–1708. https://doi.org/10.1093/bib/bby043</w:t>
      </w:r>
    </w:p>
    <w:p>
      <w:pPr>
        <w:spacing w:after="0" w:before="0" w:line="480"/>
        <w:ind w:left="720" w:hanging="720"/>
      </w:pPr>
      <w:r>
        <w:rPr>
          <w:rFonts w:ascii="Times New Roman" w:cs="Times New Roman" w:eastAsia="Times New Roman" w:hAnsi="Times New Roman"/>
          <w:sz w:val="24"/>
          <w:szCs w:val="24"/>
        </w:rPr>
        <w:t xml:space="preserve">Park, J. H., Lee, S., Kim, H. J., &amp; Choi, J. (2024). Wearable heart rate variability: A scoping review of clinical applications and technical considerations. </w:t>
      </w:r>
      <w:r>
        <w:rPr>
          <w:rFonts w:ascii="Times New Roman" w:cs="Times New Roman" w:eastAsia="Times New Roman" w:hAnsi="Times New Roman"/>
          <w:i/>
          <w:iCs/>
          <w:sz w:val="24"/>
          <w:szCs w:val="24"/>
        </w:rPr>
        <w:t xml:space="preserve">NPJ Digital Medicine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7</w:t>
      </w:r>
      <w:r>
        <w:rPr>
          <w:rFonts w:ascii="Times New Roman" w:cs="Times New Roman" w:eastAsia="Times New Roman" w:hAnsi="Times New Roman"/>
          <w:sz w:val="24"/>
          <w:szCs w:val="24"/>
        </w:rPr>
        <w:t xml:space="preserve">, 89. https://doi.org/10.1038/s41746-024-01088-7</w:t>
      </w:r>
    </w:p>
    <w:p>
      <w:pPr>
        <w:spacing w:after="0" w:before="0" w:line="480"/>
        <w:ind w:left="720" w:hanging="720"/>
      </w:pPr>
      <w:r>
        <w:rPr>
          <w:rFonts w:ascii="Times New Roman" w:cs="Times New Roman" w:eastAsia="Times New Roman" w:hAnsi="Times New Roman"/>
          <w:sz w:val="24"/>
          <w:szCs w:val="24"/>
        </w:rPr>
        <w:t xml:space="preserve">Parr, T., Pezzulo, G., &amp; Friston, K. J. (2022). </w:t>
      </w:r>
      <w:r>
        <w:rPr>
          <w:rFonts w:ascii="Times New Roman" w:cs="Times New Roman" w:eastAsia="Times New Roman" w:hAnsi="Times New Roman"/>
          <w:i/>
          <w:iCs/>
          <w:sz w:val="24"/>
          <w:szCs w:val="24"/>
        </w:rPr>
        <w:t xml:space="preserve">Active inference: The free energy principle in mind, brain, and behavior</w:t>
      </w:r>
      <w:r>
        <w:rPr>
          <w:rFonts w:ascii="Times New Roman" w:cs="Times New Roman" w:eastAsia="Times New Roman" w:hAnsi="Times New Roman"/>
          <w:sz w:val="24"/>
          <w:szCs w:val="24"/>
        </w:rPr>
        <w:t xml:space="preserve">. MIT Press. https://doi.org/10.7551/mitpress/12441.001.0001</w:t>
      </w:r>
    </w:p>
    <w:p>
      <w:pPr>
        <w:spacing w:after="0" w:before="0" w:line="480"/>
        <w:ind w:left="720" w:hanging="720"/>
      </w:pPr>
      <w:r>
        <w:rPr>
          <w:rFonts w:ascii="Times New Roman" w:cs="Times New Roman" w:eastAsia="Times New Roman" w:hAnsi="Times New Roman"/>
          <w:sz w:val="24"/>
          <w:szCs w:val="24"/>
        </w:rPr>
        <w:t xml:space="preserve">Pathak, D., Agrawal, P., Efros, A. A., &amp; Darrell, T. (2017). Curiosity-driven exploration by self-supervised prediction. In </w:t>
      </w:r>
      <w:r>
        <w:rPr>
          <w:rFonts w:ascii="Times New Roman" w:cs="Times New Roman" w:eastAsia="Times New Roman" w:hAnsi="Times New Roman"/>
          <w:i/>
          <w:iCs/>
          <w:sz w:val="24"/>
          <w:szCs w:val="24"/>
        </w:rPr>
        <w:t xml:space="preserve">Proceedings of the 34th International Conference on Machine Learning</w:t>
      </w:r>
      <w:r>
        <w:rPr>
          <w:rFonts w:ascii="Times New Roman" w:cs="Times New Roman" w:eastAsia="Times New Roman" w:hAnsi="Times New Roman"/>
          <w:sz w:val="24"/>
          <w:szCs w:val="24"/>
        </w:rPr>
        <w:t xml:space="preserve"> (pp. 2778–2787). PMLR.</w:t>
      </w:r>
    </w:p>
    <w:p>
      <w:pPr>
        <w:spacing w:after="0" w:before="0" w:line="480"/>
        <w:ind w:left="720" w:hanging="720"/>
      </w:pPr>
      <w:r>
        <w:rPr>
          <w:rFonts w:ascii="Times New Roman" w:cs="Times New Roman" w:eastAsia="Times New Roman" w:hAnsi="Times New Roman"/>
          <w:sz w:val="24"/>
          <w:szCs w:val="24"/>
        </w:rPr>
        <w:t xml:space="preserve">Pekrun, R. (2019). The murky distinction between curiosity and interest: State of the art and future prospects. </w:t>
      </w:r>
      <w:r>
        <w:rPr>
          <w:rFonts w:ascii="Times New Roman" w:cs="Times New Roman" w:eastAsia="Times New Roman" w:hAnsi="Times New Roman"/>
          <w:i/>
          <w:iCs/>
          <w:sz w:val="24"/>
          <w:szCs w:val="24"/>
        </w:rPr>
        <w:t xml:space="preserve">Educational Psychology Review</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31</w:t>
      </w:r>
      <w:r>
        <w:rPr>
          <w:rFonts w:ascii="Times New Roman" w:cs="Times New Roman" w:eastAsia="Times New Roman" w:hAnsi="Times New Roman"/>
          <w:sz w:val="24"/>
          <w:szCs w:val="24"/>
        </w:rPr>
        <w:t xml:space="preserve">(4), 905–914. https://doi.org/10.1007/s10648-019-09512-1</w:t>
      </w:r>
    </w:p>
    <w:p>
      <w:pPr>
        <w:spacing w:after="0" w:before="0" w:line="480"/>
        <w:ind w:left="720" w:hanging="720"/>
      </w:pPr>
      <w:r>
        <w:rPr>
          <w:rFonts w:ascii="Times New Roman" w:cs="Times New Roman" w:eastAsia="Times New Roman" w:hAnsi="Times New Roman"/>
          <w:sz w:val="24"/>
          <w:szCs w:val="24"/>
        </w:rPr>
        <w:t xml:space="preserve">Pelánek, R. (2017). Bayesian knowledge tracing, logistic models, and beyond: An overview of learner modeling techniques. </w:t>
      </w:r>
      <w:r>
        <w:rPr>
          <w:rFonts w:ascii="Times New Roman" w:cs="Times New Roman" w:eastAsia="Times New Roman" w:hAnsi="Times New Roman"/>
          <w:i/>
          <w:iCs/>
          <w:sz w:val="24"/>
          <w:szCs w:val="24"/>
        </w:rPr>
        <w:t xml:space="preserve">User Modeling and User-Adapted Interaction</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27</w:t>
      </w:r>
      <w:r>
        <w:rPr>
          <w:rFonts w:ascii="Times New Roman" w:cs="Times New Roman" w:eastAsia="Times New Roman" w:hAnsi="Times New Roman"/>
          <w:sz w:val="24"/>
          <w:szCs w:val="24"/>
        </w:rPr>
        <w:t xml:space="preserve">(3–5), 313–350. https://doi.org/10.1007/s11257-017-9193-2</w:t>
      </w:r>
    </w:p>
    <w:p>
      <w:pPr>
        <w:spacing w:after="0" w:before="0" w:line="480"/>
        <w:ind w:left="720" w:hanging="720"/>
      </w:pPr>
      <w:r>
        <w:rPr>
          <w:rFonts w:ascii="Times New Roman" w:cs="Times New Roman" w:eastAsia="Times New Roman" w:hAnsi="Times New Roman"/>
          <w:sz w:val="24"/>
          <w:szCs w:val="24"/>
        </w:rPr>
        <w:t xml:space="preserve">Pezzulo, G., Rigoli, F., &amp; Friston, K. J. (2018). Hierarchical active inference: A theory of motivated control. </w:t>
      </w:r>
      <w:r>
        <w:rPr>
          <w:rFonts w:ascii="Times New Roman" w:cs="Times New Roman" w:eastAsia="Times New Roman" w:hAnsi="Times New Roman"/>
          <w:i/>
          <w:iCs/>
          <w:sz w:val="24"/>
          <w:szCs w:val="24"/>
        </w:rPr>
        <w:t xml:space="preserve">Trends in Cognitive Sciences</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22</w:t>
      </w:r>
      <w:r>
        <w:rPr>
          <w:rFonts w:ascii="Times New Roman" w:cs="Times New Roman" w:eastAsia="Times New Roman" w:hAnsi="Times New Roman"/>
          <w:sz w:val="24"/>
          <w:szCs w:val="24"/>
        </w:rPr>
        <w:t xml:space="preserve">(4), 294–306. https://doi.org/10.1016/j.tics.2018.01.009</w:t>
      </w:r>
    </w:p>
    <w:p>
      <w:pPr>
        <w:spacing w:after="0" w:before="0" w:line="480"/>
        <w:ind w:left="720" w:hanging="720"/>
      </w:pPr>
      <w:r>
        <w:rPr>
          <w:rFonts w:ascii="Times New Roman" w:cs="Times New Roman" w:eastAsia="Times New Roman" w:hAnsi="Times New Roman"/>
          <w:sz w:val="24"/>
          <w:szCs w:val="24"/>
        </w:rPr>
        <w:t xml:space="preserve">Pintrich, P. R. (2000). The role of goal orientation in self-regulated learning. In M. Boekaerts, P. R. Pintrich, &amp; M. Zeidner (Eds.), </w:t>
      </w:r>
      <w:r>
        <w:rPr>
          <w:rFonts w:ascii="Times New Roman" w:cs="Times New Roman" w:eastAsia="Times New Roman" w:hAnsi="Times New Roman"/>
          <w:i/>
          <w:iCs/>
          <w:sz w:val="24"/>
          <w:szCs w:val="24"/>
        </w:rPr>
        <w:t xml:space="preserve">Handbook of self-regulation</w:t>
      </w:r>
      <w:r>
        <w:rPr>
          <w:rFonts w:ascii="Times New Roman" w:cs="Times New Roman" w:eastAsia="Times New Roman" w:hAnsi="Times New Roman"/>
          <w:sz w:val="24"/>
          <w:szCs w:val="24"/>
        </w:rPr>
        <w:t xml:space="preserve"> (pp. 451–502). Academic Press. https://doi.org/10.1016/B978-012109890-2/50043-3</w:t>
      </w:r>
    </w:p>
    <w:p>
      <w:pPr>
        <w:spacing w:after="0" w:before="0" w:line="480"/>
        <w:ind w:left="720" w:hanging="720"/>
      </w:pPr>
      <w:r>
        <w:rPr>
          <w:rFonts w:ascii="Times New Roman" w:cs="Times New Roman" w:eastAsia="Times New Roman" w:hAnsi="Times New Roman"/>
          <w:sz w:val="24"/>
          <w:szCs w:val="24"/>
        </w:rPr>
        <w:t xml:space="preserve">Porges, S. W. (2007). The polyvagal perspective. </w:t>
      </w:r>
      <w:r>
        <w:rPr>
          <w:rFonts w:ascii="Times New Roman" w:cs="Times New Roman" w:eastAsia="Times New Roman" w:hAnsi="Times New Roman"/>
          <w:i/>
          <w:iCs/>
          <w:sz w:val="24"/>
          <w:szCs w:val="24"/>
        </w:rPr>
        <w:t xml:space="preserve">Biological Psychology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74</w:t>
      </w:r>
      <w:r>
        <w:rPr>
          <w:rFonts w:ascii="Times New Roman" w:cs="Times New Roman" w:eastAsia="Times New Roman" w:hAnsi="Times New Roman"/>
          <w:sz w:val="24"/>
          <w:szCs w:val="24"/>
        </w:rPr>
        <w:t xml:space="preserve">(2), 116–143. https://doi.org/10.1016/j.biopsycho.2006.06.009</w:t>
      </w:r>
    </w:p>
    <w:p>
      <w:pPr>
        <w:spacing w:after="0" w:before="0" w:line="480"/>
        <w:ind w:left="720" w:hanging="720"/>
      </w:pPr>
      <w:r>
        <w:rPr>
          <w:rFonts w:ascii="Times New Roman" w:cs="Times New Roman" w:eastAsia="Times New Roman" w:hAnsi="Times New Roman"/>
          <w:sz w:val="24"/>
          <w:szCs w:val="24"/>
        </w:rPr>
        <w:t xml:space="preserve">Porges, S. W. (2021). Polyvagal Theory: A biobehavioral journey to sociality. </w:t>
      </w:r>
      <w:r>
        <w:rPr>
          <w:rFonts w:ascii="Times New Roman" w:cs="Times New Roman" w:eastAsia="Times New Roman" w:hAnsi="Times New Roman"/>
          <w:i/>
          <w:iCs/>
          <w:sz w:val="24"/>
          <w:szCs w:val="24"/>
        </w:rPr>
        <w:t xml:space="preserve">Comprehensive Psychoneuroendocrinology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7</w:t>
      </w:r>
      <w:r>
        <w:rPr>
          <w:rFonts w:ascii="Times New Roman" w:cs="Times New Roman" w:eastAsia="Times New Roman" w:hAnsi="Times New Roman"/>
          <w:sz w:val="24"/>
          <w:szCs w:val="24"/>
        </w:rPr>
        <w:t xml:space="preserve">, 100069. https://doi.org/10.1016/j.cpnec.2021.100069</w:t>
      </w:r>
    </w:p>
    <w:p>
      <w:pPr>
        <w:spacing w:after="0" w:before="0" w:line="480"/>
        <w:ind w:left="720" w:hanging="720"/>
      </w:pPr>
      <w:r>
        <w:rPr>
          <w:rFonts w:ascii="Times New Roman" w:cs="Times New Roman" w:eastAsia="Times New Roman" w:hAnsi="Times New Roman"/>
          <w:sz w:val="24"/>
          <w:szCs w:val="24"/>
        </w:rPr>
        <w:t xml:space="preserve">Quintana, D. S., &amp; Heathers, J. A. J. (2014). Considerations in the assessment of heart rate variability in biobehavioral research. </w:t>
      </w:r>
      <w:r>
        <w:rPr>
          <w:rFonts w:ascii="Times New Roman" w:cs="Times New Roman" w:eastAsia="Times New Roman" w:hAnsi="Times New Roman"/>
          <w:i/>
          <w:iCs/>
          <w:sz w:val="24"/>
          <w:szCs w:val="24"/>
        </w:rPr>
        <w:t xml:space="preserve">Frontiers in Psychology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5</w:t>
      </w:r>
      <w:r>
        <w:rPr>
          <w:rFonts w:ascii="Times New Roman" w:cs="Times New Roman" w:eastAsia="Times New Roman" w:hAnsi="Times New Roman"/>
          <w:sz w:val="24"/>
          <w:szCs w:val="24"/>
        </w:rPr>
        <w:t xml:space="preserve">, 805. https://doi.org/10.3389/fpsyg.2014.00805</w:t>
      </w:r>
    </w:p>
    <w:p>
      <w:pPr>
        <w:spacing w:after="0" w:before="0" w:line="480"/>
        <w:ind w:left="720" w:hanging="720"/>
      </w:pPr>
      <w:r>
        <w:rPr>
          <w:rFonts w:ascii="Times New Roman" w:cs="Times New Roman" w:eastAsia="Times New Roman" w:hAnsi="Times New Roman"/>
          <w:sz w:val="24"/>
          <w:szCs w:val="24"/>
        </w:rPr>
        <w:t xml:space="preserve">Rainforth, T., Foster, A., Ivanova, D. R., &amp; Bickford Smith, F. (2024). Modern Bayesian experimental design. </w:t>
      </w:r>
      <w:r>
        <w:rPr>
          <w:rFonts w:ascii="Times New Roman" w:cs="Times New Roman" w:eastAsia="Times New Roman" w:hAnsi="Times New Roman"/>
          <w:i/>
          <w:iCs/>
          <w:sz w:val="24"/>
          <w:szCs w:val="24"/>
        </w:rPr>
        <w:t xml:space="preserve">Statistical Science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39</w:t>
      </w:r>
      <w:r>
        <w:rPr>
          <w:rFonts w:ascii="Times New Roman" w:cs="Times New Roman" w:eastAsia="Times New Roman" w:hAnsi="Times New Roman"/>
          <w:sz w:val="24"/>
          <w:szCs w:val="24"/>
        </w:rPr>
        <w:t xml:space="preserve">(1), 100–114. https://doi.org/10.1214/23-STS915</w:t>
      </w:r>
    </w:p>
    <w:p>
      <w:pPr>
        <w:spacing w:after="0" w:before="0" w:line="480"/>
        <w:ind w:left="720" w:hanging="720"/>
      </w:pPr>
      <w:r>
        <w:rPr>
          <w:rFonts w:ascii="Times New Roman" w:cs="Times New Roman" w:eastAsia="Times New Roman" w:hAnsi="Times New Roman"/>
          <w:sz w:val="24"/>
          <w:szCs w:val="24"/>
        </w:rPr>
        <w:t xml:space="preserve">Reddy, S., Brunskill, E., &amp; Levine, S. (2024). Accelerated learning with deep reinforcement-tutoring agents. </w:t>
      </w:r>
      <w:r>
        <w:rPr>
          <w:rFonts w:ascii="Times New Roman" w:cs="Times New Roman" w:eastAsia="Times New Roman" w:hAnsi="Times New Roman"/>
          <w:i/>
          <w:iCs/>
          <w:sz w:val="24"/>
          <w:szCs w:val="24"/>
        </w:rPr>
        <w:t xml:space="preserve">Computers &amp; Education: Artificial Intelligence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6</w:t>
      </w:r>
      <w:r>
        <w:rPr>
          <w:rFonts w:ascii="Times New Roman" w:cs="Times New Roman" w:eastAsia="Times New Roman" w:hAnsi="Times New Roman"/>
          <w:sz w:val="24"/>
          <w:szCs w:val="24"/>
        </w:rPr>
        <w:t xml:space="preserve">, 100211. https://doi.org/10.1016/j.caeai.2024.100211</w:t>
      </w:r>
    </w:p>
    <w:p>
      <w:pPr>
        <w:spacing w:after="0" w:before="0" w:line="480"/>
        <w:ind w:left="720" w:hanging="720"/>
      </w:pPr>
      <w:r>
        <w:rPr>
          <w:rFonts w:ascii="Times New Roman" w:cs="Times New Roman" w:eastAsia="Times New Roman" w:hAnsi="Times New Roman"/>
          <w:sz w:val="24"/>
          <w:szCs w:val="24"/>
        </w:rPr>
        <w:t xml:space="preserve">Roth, A., Ogrin, S., &amp; Schmitz, B. (2016). Assessing self-regulated learning in higher education: A systematic literature review of self-report instruments. </w:t>
      </w:r>
      <w:r>
        <w:rPr>
          <w:rFonts w:ascii="Times New Roman" w:cs="Times New Roman" w:eastAsia="Times New Roman" w:hAnsi="Times New Roman"/>
          <w:i/>
          <w:iCs/>
          <w:sz w:val="24"/>
          <w:szCs w:val="24"/>
        </w:rPr>
        <w:t xml:space="preserve">Educational Assessment, Evaluation and Accountability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28</w:t>
      </w:r>
      <w:r>
        <w:rPr>
          <w:rFonts w:ascii="Times New Roman" w:cs="Times New Roman" w:eastAsia="Times New Roman" w:hAnsi="Times New Roman"/>
          <w:sz w:val="24"/>
          <w:szCs w:val="24"/>
        </w:rPr>
        <w:t xml:space="preserve">(3), 225–250. https://doi.org/10.1007/s11092-015-9229-2</w:t>
      </w:r>
    </w:p>
    <w:p>
      <w:pPr>
        <w:spacing w:after="0" w:before="0" w:line="480"/>
        <w:ind w:left="720" w:hanging="720"/>
      </w:pPr>
      <w:r>
        <w:rPr>
          <w:rFonts w:ascii="Times New Roman" w:cs="Times New Roman" w:eastAsia="Times New Roman" w:hAnsi="Times New Roman"/>
          <w:sz w:val="24"/>
          <w:szCs w:val="24"/>
        </w:rPr>
        <w:t xml:space="preserve">Ryan, E. G., Drovandi, C. C., McGree, J. M., &amp; Pettitt, A. N. (2016). A review of modern computational algorithms for Bayesian optimal design. </w:t>
      </w:r>
      <w:r>
        <w:rPr>
          <w:rFonts w:ascii="Times New Roman" w:cs="Times New Roman" w:eastAsia="Times New Roman" w:hAnsi="Times New Roman"/>
          <w:i/>
          <w:iCs/>
          <w:sz w:val="24"/>
          <w:szCs w:val="24"/>
        </w:rPr>
        <w:t xml:space="preserve">International Statistical Review</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84</w:t>
      </w:r>
      <w:r>
        <w:rPr>
          <w:rFonts w:ascii="Times New Roman" w:cs="Times New Roman" w:eastAsia="Times New Roman" w:hAnsi="Times New Roman"/>
          <w:sz w:val="24"/>
          <w:szCs w:val="24"/>
        </w:rPr>
        <w:t xml:space="preserve">(1), 128–154. https://doi.org/10.1111/insr.12107</w:t>
      </w:r>
    </w:p>
    <w:p>
      <w:pPr>
        <w:spacing w:after="0" w:before="0" w:line="480"/>
        <w:ind w:left="720" w:hanging="720"/>
      </w:pPr>
      <w:r>
        <w:rPr>
          <w:rFonts w:ascii="Times New Roman" w:cs="Times New Roman" w:eastAsia="Times New Roman" w:hAnsi="Times New Roman"/>
          <w:sz w:val="24"/>
          <w:szCs w:val="24"/>
        </w:rPr>
        <w:t xml:space="preserve">Sajid, N., Ball, P. J., Parr, T., &amp; Friston, K. J. (2021). Active inference: Demystified and compared. </w:t>
      </w:r>
      <w:r>
        <w:rPr>
          <w:rFonts w:ascii="Times New Roman" w:cs="Times New Roman" w:eastAsia="Times New Roman" w:hAnsi="Times New Roman"/>
          <w:i/>
          <w:iCs/>
          <w:sz w:val="24"/>
          <w:szCs w:val="24"/>
        </w:rPr>
        <w:t xml:space="preserve">Neural Computation</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33</w:t>
      </w:r>
      <w:r>
        <w:rPr>
          <w:rFonts w:ascii="Times New Roman" w:cs="Times New Roman" w:eastAsia="Times New Roman" w:hAnsi="Times New Roman"/>
          <w:sz w:val="24"/>
          <w:szCs w:val="24"/>
        </w:rPr>
        <w:t xml:space="preserve">(3), 674–712. https://doi.org/10.1162/neco_a_01357</w:t>
      </w:r>
    </w:p>
    <w:p>
      <w:pPr>
        <w:spacing w:after="0" w:before="0" w:line="480"/>
        <w:ind w:left="720" w:hanging="720"/>
      </w:pPr>
      <w:r>
        <w:rPr>
          <w:rFonts w:ascii="Times New Roman" w:cs="Times New Roman" w:eastAsia="Times New Roman" w:hAnsi="Times New Roman"/>
          <w:sz w:val="24"/>
          <w:szCs w:val="24"/>
        </w:rPr>
        <w:t xml:space="preserve">Sales, A. C., Friston, K. J., Jones, M. W., Pickering, A. E., &amp; Moran, R. J. (2019). Locus coeruleus tracking of prediction errors optimises cognitive flexibility: An active inference model. </w:t>
      </w:r>
      <w:r>
        <w:rPr>
          <w:rFonts w:ascii="Times New Roman" w:cs="Times New Roman" w:eastAsia="Times New Roman" w:hAnsi="Times New Roman"/>
          <w:i/>
          <w:iCs/>
          <w:sz w:val="24"/>
          <w:szCs w:val="24"/>
        </w:rPr>
        <w:t xml:space="preserve">PLOS Computational Biology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15</w:t>
      </w:r>
      <w:r>
        <w:rPr>
          <w:rFonts w:ascii="Times New Roman" w:cs="Times New Roman" w:eastAsia="Times New Roman" w:hAnsi="Times New Roman"/>
          <w:sz w:val="24"/>
          <w:szCs w:val="24"/>
        </w:rPr>
        <w:t xml:space="preserve">(1), e1006267. https://doi.org/10.1371/journal.pcbi.1006267</w:t>
      </w:r>
    </w:p>
    <w:p>
      <w:pPr>
        <w:spacing w:after="0" w:before="0" w:line="480"/>
        <w:ind w:left="720" w:hanging="720"/>
      </w:pPr>
      <w:r>
        <w:rPr>
          <w:rFonts w:ascii="Times New Roman" w:cs="Times New Roman" w:eastAsia="Times New Roman" w:hAnsi="Times New Roman"/>
          <w:sz w:val="24"/>
          <w:szCs w:val="24"/>
        </w:rPr>
        <w:t xml:space="preserve">Sanz Leon, P., Knock, S. A., Woodman, M. M., Domide, L., Mersmann, J., McIntosh, A. R., &amp; Jirsa, V. (2013). The Virtual Brain: A simulator of primate brain network dynamics. </w:t>
      </w:r>
      <w:r>
        <w:rPr>
          <w:rFonts w:ascii="Times New Roman" w:cs="Times New Roman" w:eastAsia="Times New Roman" w:hAnsi="Times New Roman"/>
          <w:i/>
          <w:iCs/>
          <w:sz w:val="24"/>
          <w:szCs w:val="24"/>
        </w:rPr>
        <w:t xml:space="preserve">Frontiers in Neuroinformatics</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7</w:t>
      </w:r>
      <w:r>
        <w:rPr>
          <w:rFonts w:ascii="Times New Roman" w:cs="Times New Roman" w:eastAsia="Times New Roman" w:hAnsi="Times New Roman"/>
          <w:sz w:val="24"/>
          <w:szCs w:val="24"/>
        </w:rPr>
        <w:t xml:space="preserve">, 10. https://doi.org/10.3389/fninf.2013.00010</w:t>
      </w:r>
    </w:p>
    <w:p>
      <w:pPr>
        <w:spacing w:after="0" w:before="0" w:line="480"/>
        <w:ind w:left="720" w:hanging="720"/>
      </w:pPr>
      <w:r>
        <w:rPr>
          <w:rFonts w:ascii="Times New Roman" w:cs="Times New Roman" w:eastAsia="Times New Roman" w:hAnsi="Times New Roman"/>
          <w:sz w:val="24"/>
          <w:szCs w:val="24"/>
        </w:rPr>
        <w:t xml:space="preserve">Schmidhuber, J. (2010). Formal theory of creativity, fun, and intrinsic motivation (1990–2010). </w:t>
      </w:r>
      <w:r>
        <w:rPr>
          <w:rFonts w:ascii="Times New Roman" w:cs="Times New Roman" w:eastAsia="Times New Roman" w:hAnsi="Times New Roman"/>
          <w:i/>
          <w:iCs/>
          <w:sz w:val="24"/>
          <w:szCs w:val="24"/>
        </w:rPr>
        <w:t xml:space="preserve">IEEE Transactions on Autonomous Mental Development</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w:t>
      </w:r>
      <w:r>
        <w:rPr>
          <w:rFonts w:ascii="Times New Roman" w:cs="Times New Roman" w:eastAsia="Times New Roman" w:hAnsi="Times New Roman"/>
          <w:sz w:val="24"/>
          <w:szCs w:val="24"/>
        </w:rPr>
        <w:t xml:space="preserve">(3), 230–247. https://doi.org/10.1109/TAMD.2010.2056368</w:t>
      </w:r>
    </w:p>
    <w:p>
      <w:pPr>
        <w:spacing w:after="0" w:before="0" w:line="480"/>
        <w:ind w:left="720" w:hanging="720"/>
      </w:pPr>
      <w:r>
        <w:rPr>
          <w:rFonts w:ascii="Times New Roman" w:cs="Times New Roman" w:eastAsia="Times New Roman" w:hAnsi="Times New Roman"/>
          <w:sz w:val="24"/>
          <w:szCs w:val="24"/>
        </w:rPr>
        <w:t xml:space="preserve">Schwartenbeck, P., &amp; Friston, K. (2016). Computational phenotyping in psychiatry: A worked example. </w:t>
      </w:r>
      <w:r>
        <w:rPr>
          <w:rFonts w:ascii="Times New Roman" w:cs="Times New Roman" w:eastAsia="Times New Roman" w:hAnsi="Times New Roman"/>
          <w:i/>
          <w:iCs/>
          <w:sz w:val="24"/>
          <w:szCs w:val="24"/>
        </w:rPr>
        <w:t xml:space="preserve">eNeuro</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3</w:t>
      </w:r>
      <w:r>
        <w:rPr>
          <w:rFonts w:ascii="Times New Roman" w:cs="Times New Roman" w:eastAsia="Times New Roman" w:hAnsi="Times New Roman"/>
          <w:sz w:val="24"/>
          <w:szCs w:val="24"/>
        </w:rPr>
        <w:t xml:space="preserve">(4), ENEURO.0049-16.2016. https://doi.org/10.1523/ENEURO.0049-16.2016</w:t>
      </w:r>
    </w:p>
    <w:p>
      <w:pPr>
        <w:spacing w:after="0" w:before="0" w:line="480"/>
        <w:ind w:left="720" w:hanging="720"/>
      </w:pPr>
      <w:r>
        <w:rPr>
          <w:rFonts w:ascii="Times New Roman" w:cs="Times New Roman" w:eastAsia="Times New Roman" w:hAnsi="Times New Roman"/>
          <w:sz w:val="24"/>
          <w:szCs w:val="24"/>
        </w:rPr>
        <w:t xml:space="preserve">Schwartenbeck, P., FitzGerald, T. H. B., Mathys, C., Dolan, R., &amp; Friston, K. (2015). The dopaminergic midbrain encodes the expected certainty about desired outcomes. </w:t>
      </w:r>
      <w:r>
        <w:rPr>
          <w:rFonts w:ascii="Times New Roman" w:cs="Times New Roman" w:eastAsia="Times New Roman" w:hAnsi="Times New Roman"/>
          <w:i/>
          <w:iCs/>
          <w:sz w:val="24"/>
          <w:szCs w:val="24"/>
        </w:rPr>
        <w:t xml:space="preserve">Cerebral Cortex</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25</w:t>
      </w:r>
      <w:r>
        <w:rPr>
          <w:rFonts w:ascii="Times New Roman" w:cs="Times New Roman" w:eastAsia="Times New Roman" w:hAnsi="Times New Roman"/>
          <w:sz w:val="24"/>
          <w:szCs w:val="24"/>
        </w:rPr>
        <w:t xml:space="preserve">(10), 3434–3445. https://doi.org/10.1093/cercor/bhu159</w:t>
      </w:r>
    </w:p>
    <w:p>
      <w:pPr>
        <w:spacing w:after="0" w:before="0" w:line="480"/>
        <w:ind w:left="720" w:hanging="720"/>
      </w:pPr>
      <w:r>
        <w:rPr>
          <w:rFonts w:ascii="Times New Roman" w:cs="Times New Roman" w:eastAsia="Times New Roman" w:hAnsi="Times New Roman"/>
          <w:sz w:val="24"/>
          <w:szCs w:val="24"/>
        </w:rPr>
        <w:t xml:space="preserve">Schwinger, M., Trautner, M., Otterpohl, N., &amp; Stiensmeier-Pelster, J. (2020). The relation of effort regulation and academic achievement: A meta-analysis. </w:t>
      </w:r>
      <w:r>
        <w:rPr>
          <w:rFonts w:ascii="Times New Roman" w:cs="Times New Roman" w:eastAsia="Times New Roman" w:hAnsi="Times New Roman"/>
          <w:i/>
          <w:iCs/>
          <w:sz w:val="24"/>
          <w:szCs w:val="24"/>
        </w:rPr>
        <w:t xml:space="preserve">Educational Research Review</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31</w:t>
      </w:r>
      <w:r>
        <w:rPr>
          <w:rFonts w:ascii="Times New Roman" w:cs="Times New Roman" w:eastAsia="Times New Roman" w:hAnsi="Times New Roman"/>
          <w:sz w:val="24"/>
          <w:szCs w:val="24"/>
        </w:rPr>
        <w:t xml:space="preserve">, 100358. https://doi.org/10.1016/j.edurev.2020.100358</w:t>
      </w:r>
    </w:p>
    <w:p>
      <w:pPr>
        <w:spacing w:after="0" w:before="0" w:line="480"/>
        <w:ind w:left="720" w:hanging="720"/>
      </w:pPr>
      <w:r>
        <w:rPr>
          <w:rFonts w:ascii="Times New Roman" w:cs="Times New Roman" w:eastAsia="Times New Roman" w:hAnsi="Times New Roman"/>
          <w:sz w:val="24"/>
          <w:szCs w:val="24"/>
        </w:rPr>
        <w:t xml:space="preserve">Settles, B., &amp; Meeder, B. (2016). A trainable spaced repetition model for language learning. In </w:t>
      </w:r>
      <w:r>
        <w:rPr>
          <w:rFonts w:ascii="Times New Roman" w:cs="Times New Roman" w:eastAsia="Times New Roman" w:hAnsi="Times New Roman"/>
          <w:i/>
          <w:iCs/>
          <w:sz w:val="24"/>
          <w:szCs w:val="24"/>
        </w:rPr>
        <w:t xml:space="preserve">Proceedings of the 54th Annual Meeting of the Association for Computational Linguistics</w:t>
      </w:r>
      <w:r>
        <w:rPr>
          <w:rFonts w:ascii="Times New Roman" w:cs="Times New Roman" w:eastAsia="Times New Roman" w:hAnsi="Times New Roman"/>
          <w:sz w:val="24"/>
          <w:szCs w:val="24"/>
        </w:rPr>
        <w:t xml:space="preserve"> (Vol. 1, pp. 1848–1858). Association for Computational Linguistics. https://doi.org/10.18653/v1/P16-1174</w:t>
      </w:r>
    </w:p>
    <w:p>
      <w:pPr>
        <w:spacing w:after="0" w:before="0" w:line="480"/>
        <w:ind w:left="720" w:hanging="720"/>
      </w:pPr>
      <w:r>
        <w:rPr>
          <w:rFonts w:ascii="Times New Roman" w:cs="Times New Roman" w:eastAsia="Times New Roman" w:hAnsi="Times New Roman"/>
          <w:sz w:val="24"/>
          <w:szCs w:val="24"/>
        </w:rPr>
        <w:t xml:space="preserve">Sevoz-Couche, C., &amp; Laborde, S. (2022). Heart rate variability and slow-paced breathing: When coherence meets resonance. </w:t>
      </w:r>
      <w:r>
        <w:rPr>
          <w:rFonts w:ascii="Times New Roman" w:cs="Times New Roman" w:eastAsia="Times New Roman" w:hAnsi="Times New Roman"/>
          <w:i/>
          <w:iCs/>
          <w:sz w:val="24"/>
          <w:szCs w:val="24"/>
        </w:rPr>
        <w:t xml:space="preserve">Neuroscience &amp; Biobehavioral Reviews</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135</w:t>
      </w:r>
      <w:r>
        <w:rPr>
          <w:rFonts w:ascii="Times New Roman" w:cs="Times New Roman" w:eastAsia="Times New Roman" w:hAnsi="Times New Roman"/>
          <w:sz w:val="24"/>
          <w:szCs w:val="24"/>
        </w:rPr>
        <w:t xml:space="preserve">, 104576. https://doi.org/10.1016/j.neubiorev.2022.104576</w:t>
      </w:r>
    </w:p>
    <w:p>
      <w:pPr>
        <w:spacing w:after="0" w:before="0" w:line="480"/>
        <w:ind w:left="720" w:hanging="720"/>
      </w:pPr>
      <w:r>
        <w:rPr>
          <w:rFonts w:ascii="Times New Roman" w:cs="Times New Roman" w:eastAsia="Times New Roman" w:hAnsi="Times New Roman"/>
          <w:sz w:val="24"/>
          <w:szCs w:val="24"/>
        </w:rPr>
        <w:t xml:space="preserve">Shaffer, F., &amp; Ginsberg, J. P. (2017). An overview of heart rate variability metrics and norms. </w:t>
      </w:r>
      <w:r>
        <w:rPr>
          <w:rFonts w:ascii="Times New Roman" w:cs="Times New Roman" w:eastAsia="Times New Roman" w:hAnsi="Times New Roman"/>
          <w:i/>
          <w:iCs/>
          <w:sz w:val="24"/>
          <w:szCs w:val="24"/>
        </w:rPr>
        <w:t xml:space="preserve">Frontiers in Public Health</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5</w:t>
      </w:r>
      <w:r>
        <w:rPr>
          <w:rFonts w:ascii="Times New Roman" w:cs="Times New Roman" w:eastAsia="Times New Roman" w:hAnsi="Times New Roman"/>
          <w:sz w:val="24"/>
          <w:szCs w:val="24"/>
        </w:rPr>
        <w:t xml:space="preserve">, 258. https://doi.org/10.3389/fpubh.2017.00258</w:t>
      </w:r>
    </w:p>
    <w:p>
      <w:pPr>
        <w:spacing w:after="0" w:before="0" w:line="480"/>
        <w:ind w:left="720" w:hanging="720"/>
      </w:pPr>
      <w:r>
        <w:rPr>
          <w:rFonts w:ascii="Times New Roman" w:cs="Times New Roman" w:eastAsia="Times New Roman" w:hAnsi="Times New Roman"/>
          <w:sz w:val="24"/>
          <w:szCs w:val="24"/>
        </w:rPr>
        <w:t xml:space="preserve">Shahriari, B., Swersky, K., Wang, Z., Adams, R. P., &amp; de Freitas, N. (2016). Taking the human out of the loop: A review of Bayesian optimization. </w:t>
      </w:r>
      <w:r>
        <w:rPr>
          <w:rFonts w:ascii="Times New Roman" w:cs="Times New Roman" w:eastAsia="Times New Roman" w:hAnsi="Times New Roman"/>
          <w:i/>
          <w:iCs/>
          <w:sz w:val="24"/>
          <w:szCs w:val="24"/>
        </w:rPr>
        <w:t xml:space="preserve">Proceedings of the IEEE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104</w:t>
      </w:r>
      <w:r>
        <w:rPr>
          <w:rFonts w:ascii="Times New Roman" w:cs="Times New Roman" w:eastAsia="Times New Roman" w:hAnsi="Times New Roman"/>
          <w:sz w:val="24"/>
          <w:szCs w:val="24"/>
        </w:rPr>
        <w:t xml:space="preserve">(1), 148–175. https://doi.org/10.1109/JPROC.2015.2494218</w:t>
      </w:r>
    </w:p>
    <w:p>
      <w:pPr>
        <w:spacing w:after="0" w:before="0" w:line="480"/>
        <w:ind w:left="720" w:hanging="720"/>
      </w:pPr>
      <w:r>
        <w:rPr>
          <w:rFonts w:ascii="Times New Roman" w:cs="Times New Roman" w:eastAsia="Times New Roman" w:hAnsi="Times New Roman"/>
          <w:sz w:val="24"/>
          <w:szCs w:val="24"/>
        </w:rPr>
        <w:t xml:space="preserve">Sittig, D. F., &amp; Singh, H. (2019). Improving clinical decision support: A roadmap for patient safety. </w:t>
      </w:r>
      <w:r>
        <w:rPr>
          <w:rFonts w:ascii="Times New Roman" w:cs="Times New Roman" w:eastAsia="Times New Roman" w:hAnsi="Times New Roman"/>
          <w:i/>
          <w:iCs/>
          <w:sz w:val="24"/>
          <w:szCs w:val="24"/>
        </w:rPr>
        <w:t xml:space="preserve">Journal of the American Medical Informatics Association</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26</w:t>
      </w:r>
      <w:r>
        <w:rPr>
          <w:rFonts w:ascii="Times New Roman" w:cs="Times New Roman" w:eastAsia="Times New Roman" w:hAnsi="Times New Roman"/>
          <w:sz w:val="24"/>
          <w:szCs w:val="24"/>
        </w:rPr>
        <w:t xml:space="preserve">(11), 1233–1239. https://doi.org/10.1093/jamia/ocz150</w:t>
      </w:r>
    </w:p>
    <w:p>
      <w:pPr>
        <w:spacing w:after="0" w:before="0" w:line="480"/>
        <w:ind w:left="720" w:hanging="720"/>
      </w:pPr>
      <w:r>
        <w:rPr>
          <w:rFonts w:ascii="Times New Roman" w:cs="Times New Roman" w:eastAsia="Times New Roman" w:hAnsi="Times New Roman"/>
          <w:sz w:val="24"/>
          <w:szCs w:val="24"/>
        </w:rPr>
        <w:t xml:space="preserve">Smith, R., Friston, K. J., &amp; Whyte, C. J. (2022). A step-by-step tutorial on active inference and its application to empirical data. </w:t>
      </w:r>
      <w:r>
        <w:rPr>
          <w:rFonts w:ascii="Times New Roman" w:cs="Times New Roman" w:eastAsia="Times New Roman" w:hAnsi="Times New Roman"/>
          <w:i/>
          <w:iCs/>
          <w:sz w:val="24"/>
          <w:szCs w:val="24"/>
        </w:rPr>
        <w:t xml:space="preserve">Journal of Mathematical Psychology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107</w:t>
      </w:r>
      <w:r>
        <w:rPr>
          <w:rFonts w:ascii="Times New Roman" w:cs="Times New Roman" w:eastAsia="Times New Roman" w:hAnsi="Times New Roman"/>
          <w:sz w:val="24"/>
          <w:szCs w:val="24"/>
        </w:rPr>
        <w:t xml:space="preserve">, 102632. https://doi.org/10.1016/j.jmp.2021.102632</w:t>
      </w:r>
    </w:p>
    <w:p>
      <w:pPr>
        <w:spacing w:after="0" w:before="0" w:line="480"/>
        <w:ind w:left="720" w:hanging="720"/>
      </w:pPr>
      <w:r>
        <w:rPr>
          <w:rFonts w:ascii="Times New Roman" w:cs="Times New Roman" w:eastAsia="Times New Roman" w:hAnsi="Times New Roman"/>
          <w:sz w:val="24"/>
          <w:szCs w:val="24"/>
        </w:rPr>
        <w:t xml:space="preserve">Smith, R., Thayer, J. F., Khalsa, S. S., &amp; Lane, R. D. (2017). The hierarchical basis of neurovisceral integration. </w:t>
      </w:r>
      <w:r>
        <w:rPr>
          <w:rFonts w:ascii="Times New Roman" w:cs="Times New Roman" w:eastAsia="Times New Roman" w:hAnsi="Times New Roman"/>
          <w:i/>
          <w:iCs/>
          <w:sz w:val="24"/>
          <w:szCs w:val="24"/>
        </w:rPr>
        <w:t xml:space="preserve">Neuroscience &amp; Biobehavioral Reviews</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75</w:t>
      </w:r>
      <w:r>
        <w:rPr>
          <w:rFonts w:ascii="Times New Roman" w:cs="Times New Roman" w:eastAsia="Times New Roman" w:hAnsi="Times New Roman"/>
          <w:sz w:val="24"/>
          <w:szCs w:val="24"/>
        </w:rPr>
        <w:t xml:space="preserve">, 274–296. https://doi.org/10.1016/j.neubiorev.2017.02.003</w:t>
      </w:r>
    </w:p>
    <w:p>
      <w:pPr>
        <w:spacing w:after="0" w:before="0" w:line="480"/>
        <w:ind w:left="720" w:hanging="720"/>
      </w:pPr>
      <w:r>
        <w:rPr>
          <w:rFonts w:ascii="Times New Roman" w:cs="Times New Roman" w:eastAsia="Times New Roman" w:hAnsi="Times New Roman"/>
          <w:sz w:val="24"/>
          <w:szCs w:val="24"/>
        </w:rPr>
        <w:t xml:space="preserve">Stephan, K. E., Schlagenhauf, F., Huys, Q. J. M., Raman, S., Aponte, E. A., Brodersen, K. H., Rigoux, L., Moran, R. J., Daunizeau, J., Dolan, R. J., Friston, K. J., &amp; Heinz, A. (2017). Computational neuroimaging strategies for single patient predictions. </w:t>
      </w:r>
      <w:r>
        <w:rPr>
          <w:rFonts w:ascii="Times New Roman" w:cs="Times New Roman" w:eastAsia="Times New Roman" w:hAnsi="Times New Roman"/>
          <w:i/>
          <w:iCs/>
          <w:sz w:val="24"/>
          <w:szCs w:val="24"/>
        </w:rPr>
        <w:t xml:space="preserve">NeuroImage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145</w:t>
      </w:r>
      <w:r>
        <w:rPr>
          <w:rFonts w:ascii="Times New Roman" w:cs="Times New Roman" w:eastAsia="Times New Roman" w:hAnsi="Times New Roman"/>
          <w:sz w:val="24"/>
          <w:szCs w:val="24"/>
        </w:rPr>
        <w:t xml:space="preserve">, 180–199. https://doi.org/10.1016/j.neuroimage.2016.06.038</w:t>
      </w:r>
    </w:p>
    <w:p>
      <w:pPr>
        <w:spacing w:after="0" w:before="0" w:line="480"/>
        <w:ind w:left="720" w:hanging="720"/>
      </w:pPr>
      <w:r>
        <w:rPr>
          <w:rFonts w:ascii="Times New Roman" w:cs="Times New Roman" w:eastAsia="Times New Roman" w:hAnsi="Times New Roman"/>
          <w:sz w:val="24"/>
          <w:szCs w:val="24"/>
        </w:rPr>
        <w:t xml:space="preserve">Sutton, R. T., Pincock, D., Baumgart, D. C., Sadowski, D. C., Fedorak, R. N., &amp; Kroeker, K. I. (2020). An overview of clinical decision support systems: Benefits, risks, and strategies for success. </w:t>
      </w:r>
      <w:r>
        <w:rPr>
          <w:rFonts w:ascii="Times New Roman" w:cs="Times New Roman" w:eastAsia="Times New Roman" w:hAnsi="Times New Roman"/>
          <w:i/>
          <w:iCs/>
          <w:sz w:val="24"/>
          <w:szCs w:val="24"/>
        </w:rPr>
        <w:t xml:space="preserve">NPJ Digital Medicine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3</w:t>
      </w:r>
      <w:r>
        <w:rPr>
          <w:rFonts w:ascii="Times New Roman" w:cs="Times New Roman" w:eastAsia="Times New Roman" w:hAnsi="Times New Roman"/>
          <w:sz w:val="24"/>
          <w:szCs w:val="24"/>
        </w:rPr>
        <w:t xml:space="preserve">, 17. https://doi.org/10.1038/s41746-020-0221-y</w:t>
      </w:r>
    </w:p>
    <w:p>
      <w:pPr>
        <w:spacing w:after="0" w:before="0" w:line="480"/>
        <w:ind w:left="720" w:hanging="720"/>
      </w:pPr>
      <w:r>
        <w:rPr>
          <w:rFonts w:ascii="Times New Roman" w:cs="Times New Roman" w:eastAsia="Times New Roman" w:hAnsi="Times New Roman"/>
          <w:sz w:val="24"/>
          <w:szCs w:val="24"/>
        </w:rPr>
        <w:t xml:space="preserve">Sweller, J., van Merriënboer, J. J. G., &amp; Paas, F. (2019). Cognitive architecture and instructional design: 20 years later. </w:t>
      </w:r>
      <w:r>
        <w:rPr>
          <w:rFonts w:ascii="Times New Roman" w:cs="Times New Roman" w:eastAsia="Times New Roman" w:hAnsi="Times New Roman"/>
          <w:i/>
          <w:iCs/>
          <w:sz w:val="24"/>
          <w:szCs w:val="24"/>
        </w:rPr>
        <w:t xml:space="preserve">Educational Psychology Review</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31</w:t>
      </w:r>
      <w:r>
        <w:rPr>
          <w:rFonts w:ascii="Times New Roman" w:cs="Times New Roman" w:eastAsia="Times New Roman" w:hAnsi="Times New Roman"/>
          <w:sz w:val="24"/>
          <w:szCs w:val="24"/>
        </w:rPr>
        <w:t xml:space="preserve">(2), 261–292. https://doi.org/10.1007/s10648-019-09465-5</w:t>
      </w:r>
    </w:p>
    <w:p>
      <w:pPr>
        <w:spacing w:after="0" w:before="0" w:line="480"/>
        <w:ind w:left="720" w:hanging="720"/>
      </w:pPr>
      <w:r>
        <w:rPr>
          <w:rFonts w:ascii="Times New Roman" w:cs="Times New Roman" w:eastAsia="Times New Roman" w:hAnsi="Times New Roman"/>
          <w:sz w:val="24"/>
          <w:szCs w:val="24"/>
        </w:rPr>
        <w:t xml:space="preserve">Tate, R. L., Perdices, M., Rosenkoetter, U., Shadish, W., Vohra, S., Barlow, D. H., Horner, R., Kazdin, A., Kratochwill, T., McDonald, S., Sampson, M., Shamseer, L., Togher, L., Albin, R., Backman, C., Douglas, J., Evans, J. J., Gast, D., Manolov, R., … Wilson, B. (2016). The Single-Case Reporting Guideline in Behavioural Interventions (SCRIBE) 2016 statement. </w:t>
      </w:r>
      <w:r>
        <w:rPr>
          <w:rFonts w:ascii="Times New Roman" w:cs="Times New Roman" w:eastAsia="Times New Roman" w:hAnsi="Times New Roman"/>
          <w:i/>
          <w:iCs/>
          <w:sz w:val="24"/>
          <w:szCs w:val="24"/>
        </w:rPr>
        <w:t xml:space="preserve">Aphasiology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30</w:t>
      </w:r>
      <w:r>
        <w:rPr>
          <w:rFonts w:ascii="Times New Roman" w:cs="Times New Roman" w:eastAsia="Times New Roman" w:hAnsi="Times New Roman"/>
          <w:sz w:val="24"/>
          <w:szCs w:val="24"/>
        </w:rPr>
        <w:t xml:space="preserve">(7), 862–876. https://doi.org/10.1080/02687038.2016.1178022</w:t>
      </w:r>
    </w:p>
    <w:p>
      <w:pPr>
        <w:spacing w:after="0" w:before="0" w:line="480"/>
        <w:ind w:left="720" w:hanging="720"/>
      </w:pPr>
      <w:r>
        <w:rPr>
          <w:rFonts w:ascii="Times New Roman" w:cs="Times New Roman" w:eastAsia="Times New Roman" w:hAnsi="Times New Roman"/>
          <w:sz w:val="24"/>
          <w:szCs w:val="24"/>
        </w:rPr>
        <w:t xml:space="preserve">Theobald, M. (2021). Self-regulated learning training programs enhance university students’ academic performance, self-regulated learning strategies, and motivation: A meta-analysis. </w:t>
      </w:r>
      <w:r>
        <w:rPr>
          <w:rFonts w:ascii="Times New Roman" w:cs="Times New Roman" w:eastAsia="Times New Roman" w:hAnsi="Times New Roman"/>
          <w:i/>
          <w:iCs/>
          <w:sz w:val="24"/>
          <w:szCs w:val="24"/>
        </w:rPr>
        <w:t xml:space="preserve">Contemporary Educational Psychology</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66</w:t>
      </w:r>
      <w:r>
        <w:rPr>
          <w:rFonts w:ascii="Times New Roman" w:cs="Times New Roman" w:eastAsia="Times New Roman" w:hAnsi="Times New Roman"/>
          <w:sz w:val="24"/>
          <w:szCs w:val="24"/>
        </w:rPr>
        <w:t xml:space="preserve">, 101976. https://doi.org/10.1016/j.cedpsych.2021.101976</w:t>
      </w:r>
    </w:p>
    <w:p>
      <w:pPr>
        <w:spacing w:after="0" w:before="0" w:line="480"/>
        <w:ind w:left="720" w:hanging="720"/>
      </w:pPr>
      <w:r>
        <w:rPr>
          <w:rFonts w:ascii="Times New Roman" w:cs="Times New Roman" w:eastAsia="Times New Roman" w:hAnsi="Times New Roman"/>
          <w:sz w:val="24"/>
          <w:szCs w:val="24"/>
        </w:rPr>
        <w:t xml:space="preserve">Tinto, V. (2017). Through the eyes of students. </w:t>
      </w:r>
      <w:r>
        <w:rPr>
          <w:rFonts w:ascii="Times New Roman" w:cs="Times New Roman" w:eastAsia="Times New Roman" w:hAnsi="Times New Roman"/>
          <w:i/>
          <w:iCs/>
          <w:sz w:val="24"/>
          <w:szCs w:val="24"/>
        </w:rPr>
        <w:t xml:space="preserve">Journal of College Student Retention: Research, Theory &amp; Practice</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19</w:t>
      </w:r>
      <w:r>
        <w:rPr>
          <w:rFonts w:ascii="Times New Roman" w:cs="Times New Roman" w:eastAsia="Times New Roman" w:hAnsi="Times New Roman"/>
          <w:sz w:val="24"/>
          <w:szCs w:val="24"/>
        </w:rPr>
        <w:t xml:space="preserve">(3), 254–269. https://doi.org/10.1177/1521025115621917</w:t>
      </w:r>
    </w:p>
    <w:p>
      <w:pPr>
        <w:spacing w:after="0" w:before="0" w:line="480"/>
        <w:ind w:left="720" w:hanging="720"/>
      </w:pPr>
      <w:r>
        <w:rPr>
          <w:rFonts w:ascii="Times New Roman" w:cs="Times New Roman" w:eastAsia="Times New Roman" w:hAnsi="Times New Roman"/>
          <w:sz w:val="24"/>
          <w:szCs w:val="24"/>
        </w:rPr>
        <w:t xml:space="preserve">van der Linden, W. J., &amp; Glas, C. A. W. (Eds.). (2010). </w:t>
      </w:r>
      <w:r>
        <w:rPr>
          <w:rFonts w:ascii="Times New Roman" w:cs="Times New Roman" w:eastAsia="Times New Roman" w:hAnsi="Times New Roman"/>
          <w:i/>
          <w:iCs/>
          <w:sz w:val="24"/>
          <w:szCs w:val="24"/>
        </w:rPr>
        <w:t xml:space="preserve">Elements of adaptive testing</w:t>
      </w:r>
      <w:r>
        <w:rPr>
          <w:rFonts w:ascii="Times New Roman" w:cs="Times New Roman" w:eastAsia="Times New Roman" w:hAnsi="Times New Roman"/>
          <w:sz w:val="24"/>
          <w:szCs w:val="24"/>
        </w:rPr>
        <w:t xml:space="preserve">. Springer. https://doi.org/10.1007/978-0-387-85461-8</w:t>
      </w:r>
    </w:p>
    <w:p>
      <w:pPr>
        <w:spacing w:after="0" w:before="0" w:line="480"/>
        <w:ind w:left="720" w:hanging="720"/>
      </w:pPr>
      <w:r>
        <w:rPr>
          <w:rFonts w:ascii="Times New Roman" w:cs="Times New Roman" w:eastAsia="Times New Roman" w:hAnsi="Times New Roman"/>
          <w:sz w:val="24"/>
          <w:szCs w:val="24"/>
        </w:rPr>
        <w:t xml:space="preserve">Vygotsky, L. S. (1978). </w:t>
      </w:r>
      <w:r>
        <w:rPr>
          <w:rFonts w:ascii="Times New Roman" w:cs="Times New Roman" w:eastAsia="Times New Roman" w:hAnsi="Times New Roman"/>
          <w:i/>
          <w:iCs/>
          <w:sz w:val="24"/>
          <w:szCs w:val="24"/>
        </w:rPr>
        <w:t xml:space="preserve">Mind in society: The development of higher psychological processes</w:t>
      </w:r>
      <w:r>
        <w:rPr>
          <w:rFonts w:ascii="Times New Roman" w:cs="Times New Roman" w:eastAsia="Times New Roman" w:hAnsi="Times New Roman"/>
          <w:sz w:val="24"/>
          <w:szCs w:val="24"/>
        </w:rPr>
        <w:t xml:space="preserve"> (M. Cole, V. John-Steiner, S. Scribner, &amp; E. Souberman, Eds.). Harvard University Press.</w:t>
      </w:r>
    </w:p>
    <w:p>
      <w:pPr>
        <w:spacing w:after="0" w:before="0" w:line="480"/>
        <w:ind w:left="720" w:hanging="720"/>
      </w:pPr>
      <w:r>
        <w:rPr>
          <w:rFonts w:ascii="Times New Roman" w:cs="Times New Roman" w:eastAsia="Times New Roman" w:hAnsi="Times New Roman"/>
          <w:sz w:val="24"/>
          <w:szCs w:val="24"/>
        </w:rPr>
        <w:t xml:space="preserve">Wittwer, J., &amp; Renkl, A. (2010). How effective are instructional explanations in example-based learning? A meta-analytic review. </w:t>
      </w:r>
      <w:r>
        <w:rPr>
          <w:rFonts w:ascii="Times New Roman" w:cs="Times New Roman" w:eastAsia="Times New Roman" w:hAnsi="Times New Roman"/>
          <w:i/>
          <w:iCs/>
          <w:sz w:val="24"/>
          <w:szCs w:val="24"/>
        </w:rPr>
        <w:t xml:space="preserve">Educational Psychology Review</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22</w:t>
      </w:r>
      <w:r>
        <w:rPr>
          <w:rFonts w:ascii="Times New Roman" w:cs="Times New Roman" w:eastAsia="Times New Roman" w:hAnsi="Times New Roman"/>
          <w:sz w:val="24"/>
          <w:szCs w:val="24"/>
        </w:rPr>
        <w:t xml:space="preserve">(4), 393–409. https://doi.org/10.1007/s10648-010-9136-5</w:t>
      </w:r>
    </w:p>
    <w:p>
      <w:pPr>
        <w:spacing w:after="0" w:before="0" w:line="480"/>
        <w:ind w:left="720" w:hanging="720"/>
      </w:pPr>
      <w:r>
        <w:rPr>
          <w:rFonts w:ascii="Times New Roman" w:cs="Times New Roman" w:eastAsia="Times New Roman" w:hAnsi="Times New Roman"/>
          <w:sz w:val="24"/>
          <w:szCs w:val="24"/>
        </w:rPr>
        <w:t xml:space="preserve">Yudelson, M. V., Koedinger, K. R., &amp; Gordon, G. J. (2013). Individualized Bayesian knowledge tracing models. In </w:t>
      </w:r>
      <w:r>
        <w:rPr>
          <w:rFonts w:ascii="Times New Roman" w:cs="Times New Roman" w:eastAsia="Times New Roman" w:hAnsi="Times New Roman"/>
          <w:i/>
          <w:iCs/>
          <w:sz w:val="24"/>
          <w:szCs w:val="24"/>
        </w:rPr>
        <w:t xml:space="preserve">Artificial intelligence in education. AIED 2013. Lecture Notes in Computer Science</w:t>
      </w:r>
      <w:r>
        <w:rPr>
          <w:rFonts w:ascii="Times New Roman" w:cs="Times New Roman" w:eastAsia="Times New Roman" w:hAnsi="Times New Roman"/>
          <w:sz w:val="24"/>
          <w:szCs w:val="24"/>
        </w:rPr>
        <w:t xml:space="preserve"> (Vol. 7926, pp. 171–180). Springer. https://doi.org/10.1007/978-3-642-39112-5_18</w:t>
      </w:r>
    </w:p>
    <w:p>
      <w:pPr>
        <w:spacing w:after="0" w:before="0" w:line="480"/>
        <w:ind w:left="720" w:hanging="720"/>
      </w:pPr>
      <w:r>
        <w:rPr>
          <w:rFonts w:ascii="Times New Roman" w:cs="Times New Roman" w:eastAsia="Times New Roman" w:hAnsi="Times New Roman"/>
          <w:sz w:val="24"/>
          <w:szCs w:val="24"/>
        </w:rPr>
        <w:t xml:space="preserve">Zimmerman, B. J. (2000). Attaining self-regulation: A social cognitive perspective. In M. Boekaerts, P. R. Pintrich, &amp; M. Zeidner (Eds.), </w:t>
      </w:r>
      <w:r>
        <w:rPr>
          <w:rFonts w:ascii="Times New Roman" w:cs="Times New Roman" w:eastAsia="Times New Roman" w:hAnsi="Times New Roman"/>
          <w:i/>
          <w:iCs/>
          <w:sz w:val="24"/>
          <w:szCs w:val="24"/>
        </w:rPr>
        <w:t xml:space="preserve">Handbook of self-regulation</w:t>
      </w:r>
      <w:r>
        <w:rPr>
          <w:rFonts w:ascii="Times New Roman" w:cs="Times New Roman" w:eastAsia="Times New Roman" w:hAnsi="Times New Roman"/>
          <w:sz w:val="24"/>
          <w:szCs w:val="24"/>
        </w:rPr>
        <w:t xml:space="preserve"> (pp. 13–39). Academic Press. https://doi.org/10.1016/B978-012109890-2/50031-7</w:t>
      </w:r>
    </w:p>
    <w:p>
      <w:r>
        <w:br w:type="page"/>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ind w:firstLine="0"/>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image" Target="media/ffc9e90f6a2aa0e5005713e9e7005b3354d6771b.png"/><Relationship Id="rId9" Type="http://schemas.openxmlformats.org/officeDocument/2006/relationships/image" Target="media/41d6fafbfdffb28ede15f1ec96c896ad54c0b232.png"/><Relationship Id="rId10" Type="http://schemas.openxmlformats.org/officeDocument/2006/relationships/image" Target="media/a2f1bfff9e04dd85c427140db7b751760ec0682d.png"/><Relationship Id="rId11" Type="http://schemas.openxmlformats.org/officeDocument/2006/relationships/image" Target="media/d7abccb9543680685d02c6747e04da7ecdd753dc.png"/><Relationship Id="rId12" Type="http://schemas.openxmlformats.org/officeDocument/2006/relationships/image" Target="media/caaeeb60a89cc6a3c765f9716d983d034f2dbe33.png"/><Relationship Id="rId13" Type="http://schemas.openxmlformats.org/officeDocument/2006/relationships/image" Target="media/4a2ddbe810a8305810e0fece7470e50befa0c8fe.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Expected Free Energy Minimization for Adaptive Next-Task Selection in Self-Regulated Learning</dc:title>
  <dc:creator>Alex Kwon</dc:creator>
  <dc:description>In Silico Validation paper, 2026</dc:description>
  <cp:lastModifiedBy>Un-named</cp:lastModifiedBy>
  <cp:revision>1</cp:revision>
  <dcterms:created xsi:type="dcterms:W3CDTF">2026-05-21T23:54:37.205Z</dcterms:created>
  <dcterms:modified xsi:type="dcterms:W3CDTF">2026-05-21T23:54:37.205Z</dcterms:modified>
</cp:coreProperties>
</file>

<file path=docProps/custom.xml><?xml version="1.0" encoding="utf-8"?>
<Properties xmlns="http://schemas.openxmlformats.org/officeDocument/2006/custom-properties" xmlns:vt="http://schemas.openxmlformats.org/officeDocument/2006/docPropsVTypes"/>
</file>