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80" w:before="2400"/>
        <w:jc w:val="center"/>
      </w:pPr>
      <w:r>
        <w:rPr>
          <w:b/>
          <w:bCs/>
          <w:color w:val="1F2540"/>
          <w:sz w:val="56"/>
          <w:szCs w:val="56"/>
        </w:rPr>
        <w:t xml:space="preserve">CNA v7</w:t>
      </w:r>
    </w:p>
    <w:p>
      <w:pPr>
        <w:spacing w:after="240"/>
        <w:jc w:val="center"/>
      </w:pPr>
      <w:r>
        <w:rPr>
          <w:color w:val="4A90C2"/>
          <w:sz w:val="32"/>
          <w:szCs w:val="32"/>
        </w:rPr>
        <w:t xml:space="preserve">Catcher Navigator Algorithm v7</w:t>
      </w:r>
    </w:p>
    <w:p>
      <w:pPr>
        <w:spacing w:after="720"/>
        <w:jc w:val="center"/>
      </w:pPr>
      <w:r>
        <w:rPr>
          <w:b/>
          <w:bCs/>
          <w:sz w:val="36"/>
          <w:szCs w:val="36"/>
        </w:rPr>
        <w:t xml:space="preserve">임상 신경과학 평가</w:t>
      </w:r>
    </w:p>
    <w:p>
      <w:pPr>
        <w:spacing w:after="240"/>
        <w:jc w:val="center"/>
      </w:pPr>
      <w:r>
        <w:rPr>
          <w:sz w:val="24"/>
          <w:szCs w:val="24"/>
        </w:rPr>
        <w:t xml:space="preserve">성인 신경정신질환을 위한</w:t>
      </w:r>
    </w:p>
    <w:p>
      <w:pPr>
        <w:spacing w:after="720"/>
        <w:jc w:val="center"/>
      </w:pPr>
      <w:r>
        <w:rPr>
          <w:i/>
          <w:iCs/>
          <w:sz w:val="24"/>
          <w:szCs w:val="24"/>
        </w:rPr>
        <w:t xml:space="preserve">베이지안 차등 진단 + 동반이환 분해 + 적응적 재경로화 프레임워크</w:t>
      </w:r>
    </w:p>
    <w:p>
      <w:pPr>
        <w:spacing w:after="120" w:before="480"/>
        <w:jc w:val="center"/>
      </w:pPr>
      <w:r>
        <w:rPr>
          <w:b/>
          <w:bCs/>
          <w:sz w:val="24"/>
          <w:szCs w:val="24"/>
        </w:rPr>
        <w:t xml:space="preserve">Alex Kwon, BCN, PhD</w:t>
      </w:r>
    </w:p>
    <w:p>
      <w:pPr>
        <w:spacing w:after="120"/>
        <w:jc w:val="center"/>
      </w:pPr>
      <w:r>
        <w:rPr>
          <w:sz w:val="22"/>
          <w:szCs w:val="22"/>
        </w:rPr>
        <w:t xml:space="preserve">Boston Neuromind LLC</w:t>
      </w:r>
    </w:p>
    <w:p>
      <w:pPr>
        <w:spacing w:after="240"/>
        <w:jc w:val="center"/>
      </w:pPr>
      <w:r>
        <w:rPr>
          <w:sz w:val="22"/>
          <w:szCs w:val="22"/>
        </w:rPr>
        <w:t xml:space="preserve">Harvard Graduate School of Education Visiting Scholar</w:t>
      </w:r>
    </w:p>
    <w:p>
      <w:pPr>
        <w:spacing w:before="720"/>
        <w:jc w:val="center"/>
      </w:pPr>
      <w:r>
        <w:rPr>
          <w:i/>
          <w:iCs/>
          <w:color w:val="666666"/>
          <w:sz w:val="20"/>
          <w:szCs w:val="20"/>
        </w:rPr>
        <w:t xml:space="preserve">2026년 5월 · Nature Mental Health 제출 준비본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초록</w:t>
      </w:r>
    </w:p>
    <w:p>
      <w:pPr>
        <w:spacing w:after="120"/>
      </w:pPr>
      <w:r>
        <w:t xml:space="preserve">성인 신경정신질환의 진단은 증상 중첩, 동반이환, 그리고 시간에 따른 변화로 인해 임상적 난제로 남아있다. 본 논문은 4개 모듈로 구성된 통합 의사결정 프레임워크 CNA(Catcher Navigator Algorithm) v7을 제안한다: (1) 12개 진단에 대한 베이지안 사후확률을 산출하는 차등 진단 엔진(DDE), (2) 단일 증상을 다중 기여 진단으로 분수 귀속하는 동반이환 분해 모듈, (3) Pearl의 do-연산자를 활용한 인지 시뮬레이터, (4) 4주 결과 기반 사후확률 갱신을 통한 적응적 재경로화 계층이다.</w:t>
      </w:r>
    </w:p>
    <w:p>
      <w:pPr>
        <w:spacing w:after="120"/>
      </w:pPr>
      <w:r>
        <w:t xml:space="preserve">Fischer 동적 기술 이론에 기반한 5축 임상 아키텍처(주의·학습 효율·최고 수행·불안 조절·기분 안정성)를 적용하여, N=1,000 합성 환자 코호트에서 평균 AUC 0.90(95% CI: 0.87-0.93)을 달성하였다. 예비 임상 코호트(N=5)에서 동일한 주의 점수 0.39에 대해 ADHD-C·GAD·MDD가 각기 다른 일차 진단으로 분리됨을 보였다. 본 프레임워크는 USPTO 임시특허 4건으로 출원되었으며, 진단 고착화를 방지하면서 시간에 따른 결과 데이터를 통합하는 최초의 임상 시스템이다.</w:t>
      </w:r>
    </w:p>
    <w:p>
      <w:pPr>
        <w:spacing w:after="120"/>
      </w:pPr>
      <w:r>
        <w:t xml:space="preserve">키워드: 베이지안 진단, 동반이환 분해, 적응적 재경로화, Fischer 동적 기술 이론, 5축 평가, 능동 추론, 정밀 정신의학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1. 서론</w:t>
      </w:r>
    </w:p>
    <w:p>
      <w:pPr>
        <w:pStyle w:val="Heading2"/>
      </w:pPr>
      <w:r>
        <w:rPr>
          <w:b/>
          <w:bCs/>
        </w:rPr>
        <w:t xml:space="preserve">1.1 문제 정의</w:t>
      </w:r>
    </w:p>
    <w:p>
      <w:pPr>
        <w:spacing w:after="120"/>
      </w:pPr>
      <w:r>
        <w:t xml:space="preserve">성인 ADHD는 평균 6.8년의 진단 지연을 보이며(McIntosh et al., 2009), 환자의 60-80%가 GAD·MDD·OCD 등 동반이환을 가진다(Kessler et al., 2023). 그러나 현재 임상 표준은 정적이고 단일 시점에 기반한 진단으로, 다음과 같은 한계를 가진다:</w:t>
      </w:r>
    </w:p>
    <w:p>
      <w:pPr>
        <w:pStyle w:val="ListParagraph"/>
        <w:numPr>
          <w:ilvl w:val="0"/>
          <w:numId w:val="2"/>
        </w:numPr>
      </w:pPr>
      <w:r>
        <w:t xml:space="preserve">증상 중첩으로 인한 진단 모호성 (예: ADHD-Inattentive vs MDD의 주의 곤란)</w:t>
      </w:r>
    </w:p>
    <w:p>
      <w:pPr>
        <w:pStyle w:val="ListParagraph"/>
        <w:numPr>
          <w:ilvl w:val="0"/>
          <w:numId w:val="2"/>
        </w:numPr>
      </w:pPr>
      <w:r>
        <w:t xml:space="preserve">동반이환이 동시에 존재할 때 일차 진단의 결정 어려움</w:t>
      </w:r>
    </w:p>
    <w:p>
      <w:pPr>
        <w:pStyle w:val="ListParagraph"/>
        <w:numPr>
          <w:ilvl w:val="0"/>
          <w:numId w:val="2"/>
        </w:numPr>
      </w:pPr>
      <w:r>
        <w:t xml:space="preserve">시간에 따른 임상 양상 변화에 대한 적응 부족</w:t>
      </w:r>
    </w:p>
    <w:p>
      <w:pPr>
        <w:pStyle w:val="ListParagraph"/>
        <w:numPr>
          <w:ilvl w:val="0"/>
          <w:numId w:val="2"/>
        </w:numPr>
      </w:pPr>
      <w:r>
        <w:t xml:space="preserve">객관적 바이오마커(QEEG, HRV, ERP)와 주관적 보고의 통합 부재</w:t>
      </w:r>
    </w:p>
    <w:p>
      <w:pPr>
        <w:pStyle w:val="Heading2"/>
      </w:pPr>
      <w:r>
        <w:rPr>
          <w:b/>
          <w:bCs/>
        </w:rPr>
        <w:t xml:space="preserve">1.2 본 연구의 기여</w:t>
      </w:r>
    </w:p>
    <w:p>
      <w:pPr>
        <w:spacing w:after="120"/>
      </w:pPr>
      <w:r>
        <w:t xml:space="preserve">CNA v7은 다음과 같은 임상 의사결정 프레임워크를 제시한다:</w:t>
      </w:r>
    </w:p>
    <w:p>
      <w:pPr>
        <w:pStyle w:val="ListParagraph"/>
        <w:numPr>
          <w:ilvl w:val="0"/>
          <w:numId w:val="2"/>
        </w:numPr>
      </w:pPr>
      <w:r>
        <w:t xml:space="preserve">베이지안 차등 진단: 사전 확률 + 우도 함수를 통한 12개 진단 사후 확률 산출</w:t>
      </w:r>
    </w:p>
    <w:p>
      <w:pPr>
        <w:pStyle w:val="ListParagraph"/>
        <w:numPr>
          <w:ilvl w:val="0"/>
          <w:numId w:val="2"/>
        </w:numPr>
      </w:pPr>
      <w:r>
        <w:t xml:space="preserve">동반이환 분해: 증상 점수를 다중 진단의 기여로 수학적 분해</w:t>
      </w:r>
    </w:p>
    <w:p>
      <w:pPr>
        <w:pStyle w:val="ListParagraph"/>
        <w:numPr>
          <w:ilvl w:val="0"/>
          <w:numId w:val="2"/>
        </w:numPr>
      </w:pPr>
      <w:r>
        <w:t xml:space="preserve">반사실적 인지 시뮬레이터: 특정 축 개선 시 다른 축의 변화 예측</w:t>
      </w:r>
    </w:p>
    <w:p>
      <w:pPr>
        <w:pStyle w:val="ListParagraph"/>
        <w:numPr>
          <w:ilvl w:val="0"/>
          <w:numId w:val="2"/>
        </w:numPr>
      </w:pPr>
      <w:r>
        <w:t xml:space="preserve">적응적 재경로화: 4주 결과 데이터로 사후확률 갱신, 진단 고착화 방지</w:t>
      </w:r>
    </w:p>
    <w:p>
      <w:pPr>
        <w:pStyle w:val="Heading2"/>
      </w:pPr>
      <w:r>
        <w:rPr>
          <w:b/>
          <w:bCs/>
        </w:rPr>
        <w:t xml:space="preserve">1.3 이론적 토대</w:t>
      </w:r>
    </w:p>
    <w:p>
      <w:pPr>
        <w:spacing w:after="120"/>
      </w:pPr>
      <w:r>
        <w:t xml:space="preserve">본 프레임워크는 故 Kurt W. Fischer 교수(Harvard GSE, 1943-2020)의 동적 기술 이론(Dynamic Skill Theory, 1980)에 직접적으로 뿌리를 둔다. 저자는 2018-2020년 Harvard Graduate School of Education 방문학자로서 Fischer 교수로부터 직접 사사받았다. 추가로 Friston(2010, 2023)의 자유 에너지 원리와 Pearl(2018)의 인과 추론 프레임워크를 통합하였다.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2. 이론적 프레임워크</w:t>
      </w:r>
    </w:p>
    <w:p>
      <w:pPr>
        <w:pStyle w:val="Heading2"/>
      </w:pPr>
      <w:r>
        <w:rPr>
          <w:b/>
          <w:bCs/>
        </w:rPr>
        <w:t xml:space="preserve">2.1 Fischer 5축 임상 아키텍처</w:t>
      </w:r>
    </w:p>
    <w:p>
      <w:pPr>
        <w:spacing w:after="120"/>
      </w:pPr>
      <w:r>
        <w:t xml:space="preserve">성인 임상 평가를 위한 5개 핵심 축(s₁~s₅)을 정의한다: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3000"/>
        <w:gridCol w:w="2760"/>
      </w:tblGrid>
      <w:tr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축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영역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측정 도구</w:t>
            </w:r>
          </w:p>
        </w:tc>
        <w:tc>
          <w:tcPr>
            <w:tcW w:type="dxa" w:w="27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바이오마커</w:t>
            </w:r>
          </w:p>
        </w:tc>
      </w:tr>
      <w:tr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s₁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주의력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CPT, ASRS</w:t>
            </w:r>
          </w:p>
        </w:tc>
        <w:tc>
          <w:tcPr>
            <w:tcW w:type="dxa" w:w="27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Theta/Beta ratio (QEEG)</w:t>
            </w:r>
          </w:p>
        </w:tc>
      </w:tr>
      <w:tr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s₂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학습 효율 / 작업기억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N-back, Digit Span</w:t>
            </w:r>
          </w:p>
        </w:tc>
        <w:tc>
          <w:tcPr>
            <w:tcW w:type="dxa" w:w="27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P3b ERP</w:t>
            </w:r>
          </w:p>
        </w:tc>
      </w:tr>
      <w:tr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s₃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최고 수행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시간 추정 과제</w:t>
            </w:r>
          </w:p>
        </w:tc>
        <w:tc>
          <w:tcPr>
            <w:tcW w:type="dxa" w:w="27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HRV coherence</w:t>
            </w:r>
          </w:p>
        </w:tc>
      </w:tr>
      <w:tr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s₄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불안 조절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HRV, VSR, GAD-7</w:t>
            </w:r>
          </w:p>
        </w:tc>
        <w:tc>
          <w:tcPr>
            <w:tcW w:type="dxa" w:w="27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RMSSD (HRV)</w:t>
            </w:r>
          </w:p>
        </w:tc>
      </w:tr>
      <w:tr>
        <w:tc>
          <w:tcPr>
            <w:tcW w:type="dxa" w:w="12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s₅</w:t>
            </w:r>
          </w:p>
        </w:tc>
        <w:tc>
          <w:tcPr>
            <w:tcW w:type="dxa" w:w="24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기분 안정성</w:t>
            </w:r>
          </w:p>
        </w:tc>
        <w:tc>
          <w:tcPr>
            <w:tcW w:type="dxa" w:w="300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PHQ-9, OMR</w:t>
            </w:r>
          </w:p>
        </w:tc>
        <w:tc>
          <w:tcPr>
            <w:tcW w:type="dxa" w:w="276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Frontal alpha asymmetry</w:t>
            </w:r>
          </w:p>
        </w:tc>
      </w:tr>
    </w:tbl>
    <w:p>
      <w:pPr>
        <w:pStyle w:val="Heading2"/>
      </w:pPr>
      <w:r>
        <w:rPr>
          <w:b/>
          <w:bCs/>
        </w:rPr>
        <w:t xml:space="preserve">2.2 베이지안 차등 진단 (DDE)</w:t>
      </w:r>
    </w:p>
    <w:p>
      <w:pPr>
        <w:spacing w:after="120"/>
      </w:pPr>
      <w:r>
        <w:t xml:space="preserve">12개 진단 후보 D₁..D₁₂에 대해 환자 특성 벡터 f가 주어졌을 때 사후 확률을 계산한다:</w:t>
      </w:r>
    </w:p>
    <w:p>
      <w:pPr>
        <w:spacing w:after="120"/>
      </w:pPr>
      <w:r>
        <w:rPr>
          <w:i/>
          <w:iCs/>
        </w:rPr>
        <w:t xml:space="preserve">P(Dᵢ | f) = P(f | Dᵢ) · P(Dᵢ) / Σⱼ P(f | Dⱼ) · P(Dⱼ)</w:t>
      </w:r>
    </w:p>
    <w:p>
      <w:pPr>
        <w:spacing w:after="120"/>
      </w:pPr>
      <w:r>
        <w:t xml:space="preserve">여기서 P(Dᵢ)는 인구학적 사전 확률, P(f | Dᵢ)는 진단별 진단 지문(diagnostic fingerprint) 데이터베이스에서 도출된 우도 함수이다.</w:t>
      </w:r>
    </w:p>
    <w:p>
      <w:pPr>
        <w:pStyle w:val="Heading3"/>
      </w:pPr>
      <w:r>
        <w:rPr>
          <w:b/>
          <w:bCs/>
        </w:rPr>
        <w:t xml:space="preserve">12개 진단 후보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7020"/>
      </w:tblGrid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그룹</w:t>
            </w:r>
          </w:p>
        </w:tc>
        <w:tc>
          <w:tcPr>
            <w:tcW w:type="dxa" w:w="702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진단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ADHD</w:t>
            </w:r>
          </w:p>
        </w:tc>
        <w:tc>
          <w:tcPr>
            <w:tcW w:type="dxa" w:w="702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ADHD-I (부주의 우세), ADHD-H (과잉행동 우세), ADHD-C (혼합형)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불안</w:t>
            </w:r>
          </w:p>
        </w:tc>
        <w:tc>
          <w:tcPr>
            <w:tcW w:type="dxa" w:w="702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GAD, 공황장애, 사회불안장애, PTSD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강박</w:t>
            </w:r>
          </w:p>
        </w:tc>
        <w:tc>
          <w:tcPr>
            <w:tcW w:type="dxa" w:w="702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OCD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기분</w:t>
            </w:r>
          </w:p>
        </w:tc>
        <w:tc>
          <w:tcPr>
            <w:tcW w:type="dxa" w:w="702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MDD, 지속성 우울장애, 양극성 I형, 양극성 II형</w:t>
            </w:r>
          </w:p>
        </w:tc>
      </w:tr>
    </w:tbl>
    <w:p>
      <w:pPr>
        <w:pStyle w:val="Heading2"/>
      </w:pPr>
      <w:r>
        <w:rPr>
          <w:b/>
          <w:bCs/>
        </w:rPr>
        <w:t xml:space="preserve">2.3 동반이환 분해 모듈</w:t>
      </w:r>
    </w:p>
    <w:p>
      <w:pPr>
        <w:spacing w:after="120"/>
      </w:pPr>
      <w:r>
        <w:t xml:space="preserve">관찰된 증상 점수를 다중 진단의 기여로 분수 귀속한다. 예를 들어 동일한 주의력 점수 0.39가 다음과 같이 분해될 수 있다:</w:t>
      </w:r>
    </w:p>
    <w:p>
      <w:pPr>
        <w:spacing w:after="120"/>
      </w:pPr>
      <w:r>
        <w:rPr>
          <w:b/>
          <w:bCs/>
          <w:i/>
          <w:iCs/>
        </w:rPr>
        <w:t xml:space="preserve">주의력 0.39 = ADHD 기여 0.25 + GAD 기여 0.10 + MDD 기여 0.04</w:t>
      </w:r>
    </w:p>
    <w:p>
      <w:pPr>
        <w:spacing w:after="120"/>
      </w:pPr>
      <w:r>
        <w:t xml:space="preserve">이는 단일 증상 점수만으로는 구분 불가능한 임상 사례에 대해 진단별 기여도를 정량화한다.</w:t>
      </w:r>
    </w:p>
    <w:p>
      <w:pPr>
        <w:pStyle w:val="Heading2"/>
      </w:pPr>
      <w:r>
        <w:rPr>
          <w:b/>
          <w:bCs/>
        </w:rPr>
        <w:t xml:space="preserve">2.4 인지 시뮬레이터 (반사실적 예측)</w:t>
      </w:r>
    </w:p>
    <w:p>
      <w:pPr>
        <w:spacing w:after="120"/>
      </w:pPr>
      <w:r>
        <w:t xml:space="preserve">Pearl(2018)의 do-연산자를 활용하여 다음과 같은 반사실 질문에 답한다:</w:t>
      </w:r>
    </w:p>
    <w:p>
      <w:pPr>
        <w:spacing w:after="120"/>
      </w:pPr>
      <w:r>
        <w:rPr>
          <w:i/>
          <w:iCs/>
        </w:rPr>
        <w:t xml:space="preserve">"만약 s₂(작업기억)를 Δ만큼 개선한다면, s₁..s₅의 다른 축은 어떻게 변할 것인가?"</w:t>
      </w:r>
    </w:p>
    <w:p>
      <w:pPr>
        <w:spacing w:after="120"/>
      </w:pPr>
      <w:r>
        <w:t xml:space="preserve">이는 인과 그래프 모델 위에서 개입(intervention)의 효과를 시뮬레이션하여 최적 치료 경로를 도출한다.</w:t>
      </w:r>
    </w:p>
    <w:p>
      <w:pPr>
        <w:pStyle w:val="Heading2"/>
      </w:pPr>
      <w:r>
        <w:rPr>
          <w:b/>
          <w:bCs/>
        </w:rPr>
        <w:t xml:space="preserve">2.5 적응적 재경로화</w:t>
      </w:r>
    </w:p>
    <w:p>
      <w:pPr>
        <w:spacing w:after="120"/>
      </w:pPr>
      <w:r>
        <w:t xml:space="preserve">4주 후 임상 결과 데이터를 사후 확률 갱신에 사용한다:</w:t>
      </w:r>
    </w:p>
    <w:p>
      <w:pPr>
        <w:spacing w:after="120"/>
      </w:pPr>
      <w:r>
        <w:rPr>
          <w:i/>
          <w:iCs/>
        </w:rPr>
        <w:t xml:space="preserve">P(Dᵢ | f, outcome) ∝ P(outcome | Dᵢ, treatment) · P(Dᵢ | f)</w:t>
      </w:r>
    </w:p>
    <w:p>
      <w:pPr>
        <w:spacing w:after="120"/>
      </w:pPr>
      <w:r>
        <w:t xml:space="preserve">이는 초기 진단이 결과로 검증되지 않을 때 다른 진단으로의 재경로화를 가능하게 하여, 임상에서 흔히 발생하는 진단 고착화(diagnostic lock-in)를 방지한다.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3. 연구 방법</w:t>
      </w:r>
    </w:p>
    <w:p>
      <w:pPr>
        <w:pStyle w:val="Heading2"/>
      </w:pPr>
      <w:r>
        <w:rPr>
          <w:b/>
          <w:bCs/>
        </w:rPr>
        <w:t xml:space="preserve">3.1 합성 환자 코호트 생성</w:t>
      </w:r>
    </w:p>
    <w:p>
      <w:pPr>
        <w:spacing w:after="120"/>
      </w:pPr>
      <w:r>
        <w:t xml:space="preserve">진단 지문 데이터베이스(diagnostic fingerprints DB)로부터 N=1,000 합성 환자를 생성하였다. 각 환자는 12개 진단 중 하나의 일차 진단을 가지며, 동반이환 비율은 임상 역학 문헌(Kessler et al., 2023)에 기반하여 모델링되었다.</w:t>
      </w:r>
    </w:p>
    <w:p>
      <w:pPr>
        <w:pStyle w:val="Heading2"/>
      </w:pPr>
      <w:r>
        <w:rPr>
          <w:b/>
          <w:bCs/>
        </w:rPr>
        <w:t xml:space="preserve">3.2 38개 특성 차원</w:t>
      </w:r>
    </w:p>
    <w:p>
      <w:pPr>
        <w:spacing w:after="120"/>
      </w:pPr>
      <w:r>
        <w:t xml:space="preserve">8개 모달리티에서 38개 특성을 추출하였다:</w:t>
      </w:r>
    </w:p>
    <w:p>
      <w:pPr>
        <w:pStyle w:val="ListParagraph"/>
        <w:numPr>
          <w:ilvl w:val="0"/>
          <w:numId w:val="2"/>
        </w:numPr>
      </w:pPr>
      <w:r>
        <w:t xml:space="preserve">증상 보고: PHQ-9, GAD-7, ASRS, OCI-R 점수</w:t>
      </w:r>
    </w:p>
    <w:p>
      <w:pPr>
        <w:pStyle w:val="ListParagraph"/>
        <w:numPr>
          <w:ilvl w:val="0"/>
          <w:numId w:val="2"/>
        </w:numPr>
      </w:pPr>
      <w:r>
        <w:t xml:space="preserve">인지 검사: CPT(주의력), N-back(작업기억), Digit Span</w:t>
      </w:r>
    </w:p>
    <w:p>
      <w:pPr>
        <w:pStyle w:val="ListParagraph"/>
        <w:numPr>
          <w:ilvl w:val="0"/>
          <w:numId w:val="2"/>
        </w:numPr>
      </w:pPr>
      <w:r>
        <w:t xml:space="preserve">QEEG: Theta/Beta ratio, alpha asymmetry, beta excess</w:t>
      </w:r>
    </w:p>
    <w:p>
      <w:pPr>
        <w:pStyle w:val="ListParagraph"/>
        <w:numPr>
          <w:ilvl w:val="0"/>
          <w:numId w:val="2"/>
        </w:numPr>
      </w:pPr>
      <w:r>
        <w:t xml:space="preserve">HRV: RMSSD, SDNN, LF/HF ratio</w:t>
      </w:r>
    </w:p>
    <w:p>
      <w:pPr>
        <w:pStyle w:val="ListParagraph"/>
        <w:numPr>
          <w:ilvl w:val="0"/>
          <w:numId w:val="2"/>
        </w:numPr>
      </w:pPr>
      <w:r>
        <w:t xml:space="preserve">ERP: P3a, P3b, MMN, ERN</w:t>
      </w:r>
    </w:p>
    <w:p>
      <w:pPr>
        <w:pStyle w:val="ListParagraph"/>
        <w:numPr>
          <w:ilvl w:val="0"/>
          <w:numId w:val="2"/>
        </w:numPr>
      </w:pPr>
      <w:r>
        <w:t xml:space="preserve">행동 패턴: 시간 추정 오차, 자기 보고</w:t>
      </w:r>
    </w:p>
    <w:p>
      <w:pPr>
        <w:pStyle w:val="Heading2"/>
      </w:pPr>
      <w:r>
        <w:rPr>
          <w:b/>
          <w:bCs/>
        </w:rPr>
        <w:t xml:space="preserve">3.3 검증 절차</w:t>
      </w:r>
    </w:p>
    <w:p>
      <w:pPr>
        <w:spacing w:after="120"/>
      </w:pPr>
      <w:r>
        <w:t xml:space="preserve">10-fold cross-validation을 통해 각 진단의 민감도·특이도·양성예측치(PPV)·AUC를 산출하였다.</w:t>
      </w:r>
    </w:p>
    <w:p>
      <w:pPr>
        <w:pStyle w:val="Heading2"/>
      </w:pPr>
      <w:r>
        <w:rPr>
          <w:b/>
          <w:bCs/>
        </w:rPr>
        <w:t xml:space="preserve">3.4 예비 임상 코호트</w:t>
      </w:r>
    </w:p>
    <w:p>
      <w:pPr>
        <w:spacing w:after="120"/>
      </w:pPr>
      <w:r>
        <w:t xml:space="preserve">N=5 베타 코호트에서 동일한 주의력 점수 0.39를 보이는 3개 사례를 분석하였다(섹션 4.2 참조). 각 사례는 동반이환 분해를 통해 일차 진단이 분리되었으며, 4주 후 결과 데이터로 적응적 재경로화가 검증되었다.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4. 결과</w:t>
      </w:r>
    </w:p>
    <w:p>
      <w:pPr>
        <w:pStyle w:val="Heading2"/>
      </w:pPr>
      <w:r>
        <w:rPr>
          <w:b/>
          <w:bCs/>
        </w:rPr>
        <w:t xml:space="preserve">4.1 합성 검증 성능</w:t>
      </w:r>
    </w:p>
    <w:p>
      <w:pPr>
        <w:spacing w:after="120"/>
      </w:pPr>
      <w:r>
        <w:t xml:space="preserve">N=1,000 합성 코호트에서 평균 진단 AUC는 0.90(95% CI: 0.87-0.93)이었다.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진단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민감도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특이도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shd w:fill="D5E8F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AUC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PTSD (최고)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0.94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0.92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0.96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ADHD-C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0.89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0.90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0.93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MDD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0.87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0.88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0.91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GAD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0.86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0.85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0.89</w:t>
            </w:r>
          </w:p>
        </w:tc>
      </w:tr>
      <w:tr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Bipolar II (최저)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0.74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t xml:space="preserve">0.76</w:t>
            </w:r>
          </w:p>
        </w:tc>
        <w:tc>
          <w:tcPr>
            <w:tcW w:type="dxa" w:w="2340"/>
            <w:tcBorders>
              <w:top w:val="single" w:color="AAAAAA" w:sz="1"/>
              <w:left w:val="single" w:color="AAAAAA" w:sz="1"/>
              <w:bottom w:val="single" w:color="AAAAAA" w:sz="1"/>
              <w:right w:val="single" w:color="AAAAAA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</w:rPr>
              <w:t xml:space="preserve">0.79</w:t>
            </w:r>
          </w:p>
        </w:tc>
      </w:tr>
    </w:tbl>
    <w:p>
      <w:pPr>
        <w:spacing w:after="120"/>
      </w:pPr>
      <w:r>
        <w:t xml:space="preserve">Bipolar II의 낮은 성능은 MDD와의 임상적 중첩 때문이며, 이는 적응적 재경로화 모듈의 가치를 강조한다 — 초기 MDD 진단이 4주 후 항우울제 단독 치료에 비반응을 보이면 Bipolar II로의 재경로화가 트리거된다.</w:t>
      </w:r>
    </w:p>
    <w:p>
      <w:pPr>
        <w:pStyle w:val="Heading2"/>
      </w:pPr>
      <w:r>
        <w:rPr>
          <w:b/>
          <w:bCs/>
        </w:rPr>
        <w:t xml:space="preserve">4.2 예비 임상 코호트 (N=5)</w:t>
      </w:r>
    </w:p>
    <w:p>
      <w:pPr>
        <w:spacing w:after="120"/>
      </w:pPr>
      <w:r>
        <w:t xml:space="preserve">주의력 점수 0.39를 동일하게 보인 3개 사례:</w:t>
      </w:r>
    </w:p>
    <w:p>
      <w:pPr>
        <w:pStyle w:val="Heading3"/>
      </w:pPr>
      <w:r>
        <w:rPr>
          <w:b/>
          <w:bCs/>
        </w:rPr>
        <w:t xml:space="preserve">사례 A: ADHD-C 일차 진단</w:t>
      </w:r>
    </w:p>
    <w:p>
      <w:pPr>
        <w:pStyle w:val="ListParagraph"/>
        <w:numPr>
          <w:ilvl w:val="0"/>
          <w:numId w:val="2"/>
        </w:numPr>
      </w:pPr>
      <w:r>
        <w:t xml:space="preserve">분해: ADHD 기여 0.25, GAD 기여 0.10, MDD 기여 0.04</w:t>
      </w:r>
    </w:p>
    <w:p>
      <w:pPr>
        <w:pStyle w:val="ListParagraph"/>
        <w:numPr>
          <w:ilvl w:val="0"/>
          <w:numId w:val="2"/>
        </w:numPr>
      </w:pPr>
      <w:r>
        <w:t xml:space="preserve">치료: 작업기억 훈련 + HRV 바이오피드백</w:t>
      </w:r>
    </w:p>
    <w:p>
      <w:pPr>
        <w:pStyle w:val="ListParagraph"/>
        <w:numPr>
          <w:ilvl w:val="0"/>
          <w:numId w:val="2"/>
        </w:numPr>
      </w:pPr>
      <w:r>
        <w:t xml:space="preserve">4주 결과: ADHD-C 0.64 → 0.51, GAD 0.26 → 0.40 (불안 조절 곤란 관찰)</w:t>
      </w:r>
    </w:p>
    <w:p>
      <w:pPr>
        <w:pStyle w:val="ListParagraph"/>
        <w:numPr>
          <w:ilvl w:val="0"/>
          <w:numId w:val="2"/>
        </w:numPr>
      </w:pPr>
      <w:r>
        <w:t xml:space="preserve">재경로화: GAD 동반 치료 추가</w:t>
      </w:r>
    </w:p>
    <w:p>
      <w:pPr>
        <w:pStyle w:val="Heading3"/>
      </w:pPr>
      <w:r>
        <w:rPr>
          <w:b/>
          <w:bCs/>
        </w:rPr>
        <w:t xml:space="preserve">사례 B: GAD 일차 진단</w:t>
      </w:r>
    </w:p>
    <w:p>
      <w:pPr>
        <w:pStyle w:val="ListParagraph"/>
        <w:numPr>
          <w:ilvl w:val="0"/>
          <w:numId w:val="2"/>
        </w:numPr>
      </w:pPr>
      <w:r>
        <w:t xml:space="preserve">분해: ADHD 기여 0.06, GAD 기여 0.28, MDD 기여 0.03</w:t>
      </w:r>
    </w:p>
    <w:p>
      <w:pPr>
        <w:pStyle w:val="ListParagraph"/>
        <w:numPr>
          <w:ilvl w:val="0"/>
          <w:numId w:val="2"/>
        </w:numPr>
      </w:pPr>
      <w:r>
        <w:t xml:space="preserve">치료: HRV 바이오피드백 + CBT</w:t>
      </w:r>
    </w:p>
    <w:p>
      <w:pPr>
        <w:pStyle w:val="ListParagraph"/>
        <w:numPr>
          <w:ilvl w:val="0"/>
          <w:numId w:val="2"/>
        </w:numPr>
      </w:pPr>
      <w:r>
        <w:t xml:space="preserve">4주 결과: GAD 0.71 → 0.48 (양호한 반응)</w:t>
      </w:r>
    </w:p>
    <w:p>
      <w:pPr>
        <w:pStyle w:val="Heading3"/>
      </w:pPr>
      <w:r>
        <w:rPr>
          <w:b/>
          <w:bCs/>
        </w:rPr>
        <w:t xml:space="preserve">사례 C: MDD 일차 진단</w:t>
      </w:r>
    </w:p>
    <w:p>
      <w:pPr>
        <w:pStyle w:val="ListParagraph"/>
        <w:numPr>
          <w:ilvl w:val="0"/>
          <w:numId w:val="2"/>
        </w:numPr>
      </w:pPr>
      <w:r>
        <w:t xml:space="preserve">분해: ADHD 기여 0.06, GAD 기여 0.03, MDD 기여 0.30</w:t>
      </w:r>
    </w:p>
    <w:p>
      <w:pPr>
        <w:pStyle w:val="ListParagraph"/>
        <w:numPr>
          <w:ilvl w:val="0"/>
          <w:numId w:val="2"/>
        </w:numPr>
      </w:pPr>
      <w:r>
        <w:t xml:space="preserve">치료: SSRI + 행동 활성화</w:t>
      </w:r>
    </w:p>
    <w:p>
      <w:pPr>
        <w:pStyle w:val="ListParagraph"/>
        <w:numPr>
          <w:ilvl w:val="0"/>
          <w:numId w:val="2"/>
        </w:numPr>
      </w:pPr>
      <w:r>
        <w:t xml:space="preserve">4주 결과: MDD 0.69 → 0.42 (양호한 반응)</w:t>
      </w:r>
    </w:p>
    <w:p>
      <w:pPr>
        <w:pStyle w:val="Heading3"/>
      </w:pPr>
      <w:r>
        <w:rPr>
          <w:b/>
          <w:bCs/>
        </w:rPr>
        <w:t xml:space="preserve">사례 D: 적응적 재경로화 사례</w:t>
      </w:r>
    </w:p>
    <w:p>
      <w:pPr>
        <w:spacing w:after="120"/>
      </w:pPr>
      <w:r>
        <w:t xml:space="preserve">초기 MDD 0.72 → 4주 후 0.55, 동시에 ADHD-I 0.18 → 0.27로 상승. 항우울제 치료 중 주의력 개선이 MDD-only 모델의 예측을 초과하여, ADHD-I 동반이환이 재경로화되었다. 이는 진단 고착화 없이 시간에 따른 임상 양상 변화를 반영하는 본 프레임워크의 핵심 가치를 보여준다.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5. 논의</w:t>
      </w:r>
    </w:p>
    <w:p>
      <w:pPr>
        <w:pStyle w:val="Heading2"/>
      </w:pPr>
      <w:r>
        <w:rPr>
          <w:b/>
          <w:bCs/>
        </w:rPr>
        <w:t xml:space="preserve">5.1 임상적 함의</w:t>
      </w:r>
    </w:p>
    <w:p>
      <w:pPr>
        <w:spacing w:after="120"/>
      </w:pPr>
      <w:r>
        <w:t xml:space="preserve">CNA v7은 다음과 같은 임상 워크플로우의 혁신을 제공한다:</w:t>
      </w:r>
    </w:p>
    <w:p>
      <w:pPr>
        <w:pStyle w:val="ListParagraph"/>
        <w:numPr>
          <w:ilvl w:val="0"/>
          <w:numId w:val="2"/>
        </w:numPr>
      </w:pPr>
      <w:r>
        <w:t xml:space="preserve">진단 모호성의 정량화: 단일 진단 라벨 대신 사후 확률 분포 제공</w:t>
      </w:r>
    </w:p>
    <w:p>
      <w:pPr>
        <w:pStyle w:val="ListParagraph"/>
        <w:numPr>
          <w:ilvl w:val="0"/>
          <w:numId w:val="2"/>
        </w:numPr>
      </w:pPr>
      <w:r>
        <w:t xml:space="preserve">동반이환의 명시적 모델링: 일차/이차 진단 구분 + 기여 비율</w:t>
      </w:r>
    </w:p>
    <w:p>
      <w:pPr>
        <w:pStyle w:val="ListParagraph"/>
        <w:numPr>
          <w:ilvl w:val="0"/>
          <w:numId w:val="2"/>
        </w:numPr>
      </w:pPr>
      <w:r>
        <w:t xml:space="preserve">치료 시뮬레이션: 개입 전 결과 예측</w:t>
      </w:r>
    </w:p>
    <w:p>
      <w:pPr>
        <w:pStyle w:val="ListParagraph"/>
        <w:numPr>
          <w:ilvl w:val="0"/>
          <w:numId w:val="2"/>
        </w:numPr>
      </w:pPr>
      <w:r>
        <w:t xml:space="preserve">시간 적응성: 4주 결과로 진단 갱신, 잘못된 초기 진단 교정</w:t>
      </w:r>
    </w:p>
    <w:p>
      <w:pPr>
        <w:pStyle w:val="Heading2"/>
      </w:pPr>
      <w:r>
        <w:rPr>
          <w:b/>
          <w:bCs/>
        </w:rPr>
        <w:t xml:space="preserve">5.2 기존 프레임워크와의 비교</w:t>
      </w:r>
    </w:p>
    <w:p>
      <w:pPr>
        <w:spacing w:after="120"/>
      </w:pPr>
      <w:r>
        <w:t xml:space="preserve">기존 정신의학 진단 시스템(DSM-5-TR, RDoC, HiTOP)은 각자의 장점이 있으나, 본 프레임워크는 다음 점에서 차별화된다:</w:t>
      </w:r>
    </w:p>
    <w:p>
      <w:pPr>
        <w:pStyle w:val="ListParagraph"/>
        <w:numPr>
          <w:ilvl w:val="0"/>
          <w:numId w:val="2"/>
        </w:numPr>
      </w:pPr>
      <w:r>
        <w:t xml:space="preserve">DSM-5-TR: 범주적 진단 → CNA는 차원적 + 확률적 진단</w:t>
      </w:r>
    </w:p>
    <w:p>
      <w:pPr>
        <w:pStyle w:val="ListParagraph"/>
        <w:numPr>
          <w:ilvl w:val="0"/>
          <w:numId w:val="2"/>
        </w:numPr>
      </w:pPr>
      <w:r>
        <w:t xml:space="preserve">RDoC: 도메인 기반 연구 프레임워크 → CNA는 임상 적용 가능한 실시간 의사결정</w:t>
      </w:r>
    </w:p>
    <w:p>
      <w:pPr>
        <w:pStyle w:val="ListParagraph"/>
        <w:numPr>
          <w:ilvl w:val="0"/>
          <w:numId w:val="2"/>
        </w:numPr>
      </w:pPr>
      <w:r>
        <w:t xml:space="preserve">HiTOP(Conway et al., 2024): 위계적 차원 모델 → CNA는 베이지안 통합 + 적응 모듈 추가</w:t>
      </w:r>
    </w:p>
    <w:p>
      <w:pPr>
        <w:pStyle w:val="Heading2"/>
      </w:pPr>
      <w:r>
        <w:rPr>
          <w:b/>
          <w:bCs/>
        </w:rPr>
        <w:t xml:space="preserve">5.3 한계점</w:t>
      </w:r>
    </w:p>
    <w:p>
      <w:pPr>
        <w:pStyle w:val="ListParagraph"/>
        <w:numPr>
          <w:ilvl w:val="0"/>
          <w:numId w:val="2"/>
        </w:numPr>
      </w:pPr>
      <w:r>
        <w:t xml:space="preserve">합성 코호트 검증 의존: 진정한 임상 검증을 위해 N=200 전향 다기관 시험 필요(IRB 승인 + 맹검 평가자)</w:t>
      </w:r>
    </w:p>
    <w:p>
      <w:pPr>
        <w:pStyle w:val="ListParagraph"/>
        <w:numPr>
          <w:ilvl w:val="0"/>
          <w:numId w:val="2"/>
        </w:numPr>
      </w:pPr>
      <w:r>
        <w:t xml:space="preserve">디스카운팅된 진단(예: 자폐 스펙트럼, 섭식장애)은 현재 12개 후보에 포함되지 않음</w:t>
      </w:r>
    </w:p>
    <w:p>
      <w:pPr>
        <w:pStyle w:val="ListParagraph"/>
        <w:numPr>
          <w:ilvl w:val="0"/>
          <w:numId w:val="2"/>
        </w:numPr>
      </w:pPr>
      <w:r>
        <w:t xml:space="preserve">소아·청소년 적용은 추후 확장 필요</w:t>
      </w:r>
    </w:p>
    <w:p>
      <w:pPr>
        <w:pStyle w:val="ListParagraph"/>
        <w:numPr>
          <w:ilvl w:val="0"/>
          <w:numId w:val="2"/>
        </w:numPr>
      </w:pPr>
      <w:r>
        <w:t xml:space="preserve">QEEG·HRV·ERP 인입 파이프라인의 자동화는 미구현 상태</w:t>
      </w:r>
    </w:p>
    <w:p>
      <w:pPr>
        <w:pStyle w:val="Heading2"/>
      </w:pPr>
      <w:r>
        <w:rPr>
          <w:b/>
          <w:bCs/>
        </w:rPr>
        <w:t xml:space="preserve">5.4 향후 방향</w:t>
      </w:r>
    </w:p>
    <w:p>
      <w:pPr>
        <w:pStyle w:val="ListParagraph"/>
        <w:numPr>
          <w:ilvl w:val="0"/>
          <w:numId w:val="2"/>
        </w:numPr>
      </w:pPr>
      <w:r>
        <w:t xml:space="preserve">M3-M6: 전향 임상 시험 N=200, 다기관, IRB, 맹검 임상가 평가</w:t>
      </w:r>
    </w:p>
    <w:p>
      <w:pPr>
        <w:pStyle w:val="ListParagraph"/>
        <w:numPr>
          <w:ilvl w:val="0"/>
          <w:numId w:val="2"/>
        </w:numPr>
      </w:pPr>
      <w:r>
        <w:t xml:space="preserve">M6: Nature Mental Health 본 논문 제출</w:t>
      </w:r>
    </w:p>
    <w:p>
      <w:pPr>
        <w:pStyle w:val="ListParagraph"/>
        <w:numPr>
          <w:ilvl w:val="0"/>
          <w:numId w:val="2"/>
        </w:numPr>
      </w:pPr>
      <w:r>
        <w:t xml:space="preserve">M6: 오픈 프레임워크 GitHub 공개 (bnm-decision-engine)</w:t>
      </w:r>
    </w:p>
    <w:p>
      <w:pPr>
        <w:pStyle w:val="ListParagraph"/>
        <w:numPr>
          <w:ilvl w:val="0"/>
          <w:numId w:val="2"/>
        </w:numPr>
      </w:pPr>
      <w:r>
        <w:t xml:space="preserve">M6-M12: 적응 신경피드백 프로토콜 통합</w:t>
      </w:r>
    </w:p>
    <w:p>
      <w:pPr>
        <w:pStyle w:val="ListParagraph"/>
        <w:numPr>
          <w:ilvl w:val="0"/>
          <w:numId w:val="2"/>
        </w:numPr>
      </w:pPr>
      <w:r>
        <w:t xml:space="preserve">M12+: 소아 확장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주요 참고문헌</w:t>
      </w:r>
    </w:p>
    <w:p>
      <w:pPr>
        <w:spacing w:after="120"/>
      </w:pPr>
      <w:r>
        <w:t xml:space="preserve">Fischer, K. W. (1980). A theory of cognitive development: The control and construction of hierarchies of skills. Psychological Review, 87(6), 477-531.</w:t>
      </w:r>
    </w:p>
    <w:p>
      <w:pPr>
        <w:spacing w:after="120"/>
      </w:pPr>
      <w:r>
        <w:t xml:space="preserve">Friston, K. (2010). The free-energy principle: A unified brain theory? Nature Reviews Neuroscience, 11(2), 127-138.</w:t>
      </w:r>
    </w:p>
    <w:p>
      <w:pPr>
        <w:spacing w:after="120"/>
      </w:pPr>
      <w:r>
        <w:t xml:space="preserve">Pearl, J., &amp; Mackenzie, D. (2018). The Book of Why. Basic Books.</w:t>
      </w:r>
    </w:p>
    <w:p>
      <w:pPr>
        <w:spacing w:after="120"/>
      </w:pPr>
      <w:r>
        <w:t xml:space="preserve">Cortese, S. (2025). Adult ADHD. World Psychiatry, 24(3), 366-391.</w:t>
      </w:r>
    </w:p>
    <w:p>
      <w:pPr>
        <w:spacing w:after="120"/>
      </w:pPr>
      <w:r>
        <w:t xml:space="preserve">Faraone, S. V., et al. (2024). ADHD. Nature Reviews Disease Primers, 10, 11.</w:t>
      </w:r>
    </w:p>
    <w:p>
      <w:pPr>
        <w:spacing w:after="120"/>
      </w:pPr>
      <w:r>
        <w:t xml:space="preserve">Hess, A. J., et al. (2025). Bayesian workflow for computational psychiatry. Computational Psychiatry, 9(1), 76-99.</w:t>
      </w:r>
    </w:p>
    <w:p>
      <w:pPr>
        <w:spacing w:after="120"/>
      </w:pPr>
      <w:r>
        <w:t xml:space="preserve">Conway, C. C., et al. (2024). HiTOP: A dimensional alternative to traditional nosologies. Annual Review of Clinical Psychology, 20, 161-186.</w:t>
      </w:r>
    </w:p>
    <w:p>
      <w:pPr>
        <w:spacing w:after="120"/>
      </w:pPr>
      <w:r>
        <w:t xml:space="preserve">McIntosh, D., et al. (2009). Adult ADHD and comorbid depression: A consensus-derived diagnostic algorithm. Neuropsychiatric Disease and Treatment, 5, 137-150.</w:t>
      </w:r>
    </w:p>
    <w:p>
      <w:pPr>
        <w:spacing w:after="120"/>
      </w:pPr>
      <w:r>
        <w:t xml:space="preserve">Kessler, R. C., et al. (2023). Comorbid disorders and ADHD treatment outcomes. Psychological Medicine, 53(7), 2891-2904.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(전체 70개 참고문헌은 영문 본문 또는 추후 발행본 참조)</w:t>
      </w:r>
    </w:p>
    <w:p>
      <w:r>
        <w:br w:type="page"/>
      </w:r>
    </w:p>
    <w:p>
      <w:pPr>
        <w:pStyle w:val="Heading1"/>
      </w:pPr>
      <w:r>
        <w:rPr>
          <w:b/>
          <w:bCs/>
        </w:rPr>
        <w:t xml:space="preserve">감사의 글</w:t>
      </w:r>
    </w:p>
    <w:p>
      <w:pPr>
        <w:spacing w:after="120"/>
      </w:pPr>
      <w:r>
        <w:t xml:space="preserve">故 Kurt W. Fischer 교수(1943-2020, Harvard Graduate School of Education)께 깊은 감사를 드린다. 2018-2020년 Harvard GSE 방문학자로서 동적 기술 이론의 직접 사사는 본 프레임워크의 토대를 이루었다.</w:t>
      </w:r>
    </w:p>
    <w:p>
      <w:pPr>
        <w:spacing w:after="120"/>
      </w:pPr>
      <w:r>
        <w:t xml:space="preserve">저자: Alex Kwon, BCN, PhD</w:t>
      </w:r>
    </w:p>
    <w:p>
      <w:pPr>
        <w:spacing w:after="120"/>
      </w:pPr>
      <w:r>
        <w:t xml:space="preserve">Boston Neuromind LLC · Harvard GSE Visiting Scholar</w:t>
      </w:r>
    </w:p>
    <w:p>
      <w:pPr>
        <w:spacing w:after="120"/>
      </w:pPr>
      <w:r>
        <w:t xml:space="preserve">2026년 5월 · Boston, MA, USA</w:t>
      </w:r>
    </w:p>
    <w:p>
      <w:pPr>
        <w:spacing w:before="480"/>
      </w:pPr>
      <w:r>
        <w:rPr>
          <w:i/>
          <w:iCs/>
          <w:color w:val="666666"/>
          <w:sz w:val="20"/>
          <w:szCs w:val="20"/>
        </w:rPr>
        <w:t xml:space="preserve">— 본 한국어판은 영문 원본의 핵심 내용을 요약·번역한 것이며, 전체 영문 원본(8,000 단어, 70 참고문헌, 7 figures, 4 tables)은 동일 카드의 EN 버전을 참조하시기 바랍니다.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algun Gothic" w:cs="Malgun Gothic" w:eastAsia="Malgun Gothic" w:hAnsi="Malgun Gothic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00"/>
      <w:outlineLvl w:val="0"/>
    </w:pPr>
    <w:rPr>
      <w:rFonts w:ascii="Malgun Gothic" w:cs="Malgun Gothic" w:eastAsia="Malgun Gothic" w:hAnsi="Malgun Gothic"/>
      <w:b/>
      <w:bCs/>
      <w:color w:val="1F2540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240"/>
      <w:outlineLvl w:val="1"/>
    </w:pPr>
    <w:rPr>
      <w:rFonts w:ascii="Malgun Gothic" w:cs="Malgun Gothic" w:eastAsia="Malgun Gothic" w:hAnsi="Malgun Gothic"/>
      <w:b/>
      <w:bCs/>
      <w:color w:val="4A90C2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180"/>
      <w:outlineLvl w:val="2"/>
    </w:pPr>
    <w:rPr>
      <w:rFonts w:ascii="Malgun Gothic" w:cs="Malgun Gothic" w:eastAsia="Malgun Gothic" w:hAnsi="Malgun Gothic"/>
      <w:b/>
      <w:bCs/>
      <w:color w:val="2E5A7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2026-05-24T18:41:47.467Z</dcterms:created>
  <dcterms:modified xsi:type="dcterms:W3CDTF">2026-05-24T18:41:47.467Z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